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60C56" w14:textId="05084E3F" w:rsidR="00E203C2" w:rsidRDefault="00E203C2" w:rsidP="00E203C2">
      <w:r>
        <w:rPr>
          <w:noProof/>
          <w:lang w:eastAsia="en-GB" w:bidi="ar-SA"/>
        </w:rPr>
        <w:drawing>
          <wp:inline distT="0" distB="0" distL="0" distR="0" wp14:anchorId="20259B22" wp14:editId="2AAE774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F99C7D3" w14:textId="77777777" w:rsidR="00844B97" w:rsidRDefault="00844B97" w:rsidP="00844B97">
      <w:pPr>
        <w:rPr>
          <w:sz w:val="20"/>
          <w:lang w:bidi="ar-SA"/>
        </w:rPr>
      </w:pPr>
    </w:p>
    <w:p w14:paraId="0993BE40" w14:textId="77777777" w:rsidR="00844B97" w:rsidRDefault="00844B97" w:rsidP="00844B97">
      <w:pPr>
        <w:tabs>
          <w:tab w:val="left" w:pos="851"/>
        </w:tabs>
        <w:rPr>
          <w:b/>
          <w:sz w:val="28"/>
          <w:szCs w:val="28"/>
        </w:rPr>
      </w:pPr>
      <w:r>
        <w:rPr>
          <w:b/>
          <w:sz w:val="28"/>
          <w:szCs w:val="28"/>
        </w:rPr>
        <w:t>16 June 2017</w:t>
      </w:r>
    </w:p>
    <w:p w14:paraId="03F65381" w14:textId="77777777" w:rsidR="00844B97" w:rsidRDefault="00844B97" w:rsidP="00844B97">
      <w:pPr>
        <w:rPr>
          <w:b/>
          <w:sz w:val="28"/>
          <w:szCs w:val="28"/>
        </w:rPr>
      </w:pPr>
      <w:r>
        <w:rPr>
          <w:b/>
          <w:sz w:val="28"/>
          <w:szCs w:val="28"/>
        </w:rPr>
        <w:t>[15–17]</w:t>
      </w:r>
    </w:p>
    <w:p w14:paraId="1BEE1C76" w14:textId="77777777" w:rsidR="00844B97" w:rsidRDefault="00844B97" w:rsidP="00844B97">
      <w:pPr>
        <w:rPr>
          <w:b/>
          <w:sz w:val="20"/>
        </w:rPr>
      </w:pPr>
    </w:p>
    <w:p w14:paraId="4E7012F7" w14:textId="77777777" w:rsidR="00092CDA" w:rsidRPr="00F5770A" w:rsidRDefault="00092CDA" w:rsidP="00690206">
      <w:pPr>
        <w:pStyle w:val="FSTitle"/>
        <w:rPr>
          <w:b/>
        </w:rPr>
      </w:pPr>
      <w:r w:rsidRPr="005B7A73">
        <w:rPr>
          <w:b/>
        </w:rPr>
        <w:t>S</w:t>
      </w:r>
      <w:r w:rsidR="00B12F1E" w:rsidRPr="005B7A73">
        <w:rPr>
          <w:b/>
        </w:rPr>
        <w:t>upporting document</w:t>
      </w:r>
      <w:r w:rsidRPr="005B7A73">
        <w:rPr>
          <w:b/>
        </w:rPr>
        <w:t xml:space="preserve"> </w:t>
      </w:r>
      <w:r w:rsidR="005554C7" w:rsidRPr="00F5770A">
        <w:rPr>
          <w:b/>
        </w:rPr>
        <w:t>1</w:t>
      </w:r>
    </w:p>
    <w:p w14:paraId="3C94653F" w14:textId="77777777" w:rsidR="00BA24E2" w:rsidRPr="00F5770A" w:rsidRDefault="00BA24E2" w:rsidP="00E203C2"/>
    <w:p w14:paraId="23FD01B9" w14:textId="43DAA902" w:rsidR="00D056F1" w:rsidRPr="00F5770A" w:rsidRDefault="00947826" w:rsidP="00690206">
      <w:pPr>
        <w:pStyle w:val="FSTitle"/>
      </w:pPr>
      <w:r w:rsidRPr="00F5770A">
        <w:t xml:space="preserve">Summary of submissions </w:t>
      </w:r>
      <w:r w:rsidR="00020EF8">
        <w:t xml:space="preserve">– </w:t>
      </w:r>
      <w:r w:rsidRPr="00F5770A">
        <w:t>Proposal P1024</w:t>
      </w:r>
    </w:p>
    <w:p w14:paraId="3C37D5E6" w14:textId="77777777" w:rsidR="00E203C2" w:rsidRPr="00F5770A" w:rsidRDefault="00E203C2" w:rsidP="00690206"/>
    <w:p w14:paraId="45159B2A" w14:textId="5EA511B9" w:rsidR="00D056F1" w:rsidRPr="00690206" w:rsidRDefault="00947826" w:rsidP="00690206">
      <w:pPr>
        <w:pStyle w:val="FSTitle"/>
        <w:rPr>
          <w:color w:val="FF0000"/>
        </w:rPr>
      </w:pPr>
      <w:r w:rsidRPr="00F5770A">
        <w:t xml:space="preserve">Revision of the </w:t>
      </w:r>
      <w:r w:rsidR="00020EF8">
        <w:t>R</w:t>
      </w:r>
      <w:r w:rsidRPr="00F5770A">
        <w:t xml:space="preserve">egulation </w:t>
      </w:r>
      <w:r w:rsidRPr="00847568">
        <w:t xml:space="preserve">of </w:t>
      </w:r>
      <w:r w:rsidR="00020EF8">
        <w:t>N</w:t>
      </w:r>
      <w:r w:rsidRPr="00847568">
        <w:t xml:space="preserve">utritive </w:t>
      </w:r>
      <w:r w:rsidR="00020EF8">
        <w:t>S</w:t>
      </w:r>
      <w:r w:rsidRPr="00847568">
        <w:t xml:space="preserve">ubstances </w:t>
      </w:r>
      <w:r w:rsidR="00020EF8">
        <w:t>&amp;</w:t>
      </w:r>
      <w:r w:rsidRPr="00847568">
        <w:t xml:space="preserve"> </w:t>
      </w:r>
      <w:r w:rsidR="00020EF8">
        <w:t>N</w:t>
      </w:r>
      <w:r w:rsidRPr="00847568">
        <w:t xml:space="preserve">ovel </w:t>
      </w:r>
      <w:r w:rsidR="00020EF8">
        <w:t>F</w:t>
      </w:r>
      <w:r w:rsidR="00BC0060">
        <w:t>oods</w:t>
      </w:r>
    </w:p>
    <w:p w14:paraId="68EE8674" w14:textId="77777777" w:rsidR="00E203C2" w:rsidRPr="00B37BF0" w:rsidRDefault="00E203C2" w:rsidP="00E203C2">
      <w:pPr>
        <w:pBdr>
          <w:bottom w:val="single" w:sz="12" w:space="1" w:color="auto"/>
        </w:pBdr>
        <w:spacing w:line="280" w:lineRule="exact"/>
        <w:rPr>
          <w:rFonts w:cs="Arial"/>
          <w:bCs/>
        </w:rPr>
      </w:pPr>
    </w:p>
    <w:p w14:paraId="21A8F512" w14:textId="77777777" w:rsidR="00E203C2" w:rsidRPr="00B37BF0" w:rsidRDefault="00E203C2" w:rsidP="00E203C2"/>
    <w:p w14:paraId="69CE80B7" w14:textId="77777777" w:rsidR="00092CDA" w:rsidRPr="00092CDA" w:rsidRDefault="00092CDA" w:rsidP="00352CF2">
      <w:pPr>
        <w:pStyle w:val="Heading1"/>
        <w:spacing w:before="0"/>
      </w:pPr>
      <w:bookmarkStart w:id="0" w:name="_Toc286391001"/>
      <w:bookmarkStart w:id="1" w:name="_Toc300933414"/>
      <w:bookmarkStart w:id="2" w:name="_Toc453078193"/>
      <w:r w:rsidRPr="00092CDA">
        <w:t xml:space="preserve">Executive </w:t>
      </w:r>
      <w:r w:rsidR="00B12F1E">
        <w:t>s</w:t>
      </w:r>
      <w:r w:rsidRPr="00092CDA">
        <w:t>ummary</w:t>
      </w:r>
      <w:bookmarkEnd w:id="0"/>
      <w:bookmarkEnd w:id="1"/>
      <w:bookmarkEnd w:id="2"/>
    </w:p>
    <w:p w14:paraId="322CC9C4" w14:textId="3024648A" w:rsidR="00092CDA" w:rsidRDefault="00020EF8" w:rsidP="00690206">
      <w:r>
        <w:t xml:space="preserve">Following an assessment of Proposal P1024 made under section 59 of the </w:t>
      </w:r>
      <w:r w:rsidRPr="00072CC7">
        <w:rPr>
          <w:i/>
        </w:rPr>
        <w:t>Food Standards Australia New Zealand Act 1991</w:t>
      </w:r>
      <w:r>
        <w:t xml:space="preserve">, </w:t>
      </w:r>
      <w:r w:rsidR="00DE6542">
        <w:t xml:space="preserve">FSANZ </w:t>
      </w:r>
      <w:r>
        <w:t xml:space="preserve">called </w:t>
      </w:r>
      <w:r w:rsidR="00DE6542">
        <w:t xml:space="preserve">for submissions </w:t>
      </w:r>
      <w:r>
        <w:t>on the outcome</w:t>
      </w:r>
      <w:r w:rsidR="00DE6542">
        <w:t xml:space="preserve"> in December 2015. The </w:t>
      </w:r>
      <w:r>
        <w:t>assessment</w:t>
      </w:r>
      <w:r w:rsidR="00DE6542">
        <w:t xml:space="preserve"> highlighted issues in relation to the regulation of nutritive substances and novel foods in the </w:t>
      </w:r>
      <w:r w:rsidR="00DE6542" w:rsidRPr="00072CC7">
        <w:rPr>
          <w:i/>
        </w:rPr>
        <w:t>Australia New Zealand Food Standards Code</w:t>
      </w:r>
      <w:r w:rsidR="00DE6542">
        <w:t xml:space="preserve"> (the Code). </w:t>
      </w:r>
      <w:r>
        <w:t xml:space="preserve">Arising from the assessment, </w:t>
      </w:r>
      <w:r w:rsidR="00DE6542">
        <w:t xml:space="preserve">FSANZ’s preferred option was to develop an alternative approach to regulating nutritive substances and novel foods. The </w:t>
      </w:r>
      <w:r>
        <w:t>assessment documents</w:t>
      </w:r>
      <w:r w:rsidR="00072CC7">
        <w:rPr>
          <w:rStyle w:val="FootnoteReference"/>
        </w:rPr>
        <w:footnoteReference w:id="1"/>
      </w:r>
      <w:r w:rsidR="00DE6542">
        <w:t xml:space="preserve"> presented an alternative framework to regulating nutritive substances and novel foods. </w:t>
      </w:r>
    </w:p>
    <w:p w14:paraId="54C8D64E" w14:textId="77777777" w:rsidR="00DE6542" w:rsidRDefault="00DE6542" w:rsidP="00690206"/>
    <w:p w14:paraId="3DFD5105" w14:textId="64A414B7" w:rsidR="00D223D7" w:rsidRDefault="00072CC7" w:rsidP="00690206">
      <w:r>
        <w:t xml:space="preserve">The </w:t>
      </w:r>
      <w:r w:rsidR="00020EF8">
        <w:t>tables below</w:t>
      </w:r>
      <w:r w:rsidR="00DE6542">
        <w:t xml:space="preserve"> summarise </w:t>
      </w:r>
      <w:r w:rsidR="001C2872">
        <w:t xml:space="preserve">the </w:t>
      </w:r>
      <w:r w:rsidR="00AF6E51">
        <w:t>issues raised</w:t>
      </w:r>
      <w:r w:rsidR="00020EF8">
        <w:t xml:space="preserve"> by</w:t>
      </w:r>
      <w:r w:rsidR="001C2872">
        <w:t xml:space="preserve"> stakeholders </w:t>
      </w:r>
      <w:r w:rsidR="00020EF8">
        <w:t>as follows:</w:t>
      </w:r>
      <w:r w:rsidR="00D223D7">
        <w:t xml:space="preserve"> </w:t>
      </w:r>
    </w:p>
    <w:p w14:paraId="13D468D4" w14:textId="77777777" w:rsidR="00D223D7" w:rsidRDefault="00D223D7" w:rsidP="00690206"/>
    <w:p w14:paraId="074E24D1" w14:textId="2229F589" w:rsidR="00DE6542" w:rsidRDefault="00D223D7" w:rsidP="00D223D7">
      <w:pPr>
        <w:pStyle w:val="FSBullet1"/>
      </w:pPr>
      <w:r>
        <w:t xml:space="preserve">Table 1 – </w:t>
      </w:r>
      <w:r w:rsidR="00072CC7">
        <w:t xml:space="preserve">List of abbreviations used in tables </w:t>
      </w:r>
    </w:p>
    <w:p w14:paraId="715481E2" w14:textId="3EBD49E2" w:rsidR="00D223D7" w:rsidRDefault="00D223D7" w:rsidP="00D223D7">
      <w:pPr>
        <w:pStyle w:val="FSBullet1"/>
      </w:pPr>
      <w:r>
        <w:t xml:space="preserve">Table 2 – </w:t>
      </w:r>
      <w:r w:rsidR="00072CC7">
        <w:t>Overarching views on options</w:t>
      </w:r>
    </w:p>
    <w:p w14:paraId="5DB7687C" w14:textId="42B3E6C4" w:rsidR="00D223D7" w:rsidRDefault="00D223D7" w:rsidP="00D223D7">
      <w:pPr>
        <w:pStyle w:val="FSBullet1"/>
      </w:pPr>
      <w:r>
        <w:t xml:space="preserve">Table 3 – </w:t>
      </w:r>
      <w:r w:rsidR="00072CC7">
        <w:t>Detailed comments on options</w:t>
      </w:r>
    </w:p>
    <w:p w14:paraId="36E9DACA" w14:textId="6B713434" w:rsidR="00D223D7" w:rsidRDefault="00D223D7" w:rsidP="00D223D7">
      <w:pPr>
        <w:pStyle w:val="FSBullet1"/>
      </w:pPr>
      <w:r>
        <w:t xml:space="preserve">Table 4 – </w:t>
      </w:r>
      <w:r w:rsidR="00072CC7">
        <w:t>Exclusive permissions and related issues</w:t>
      </w:r>
    </w:p>
    <w:p w14:paraId="31E2B2D2" w14:textId="1A841311" w:rsidR="00D223D7" w:rsidRDefault="00D223D7" w:rsidP="00D223D7">
      <w:pPr>
        <w:pStyle w:val="FSBullet1"/>
      </w:pPr>
      <w:r>
        <w:t xml:space="preserve">Table 5 – </w:t>
      </w:r>
      <w:r w:rsidR="00072CC7">
        <w:t>Transitional arrangements</w:t>
      </w:r>
    </w:p>
    <w:p w14:paraId="4C0718B8" w14:textId="7AD08439" w:rsidR="00020EF8" w:rsidRDefault="00D223D7" w:rsidP="00072CC7">
      <w:pPr>
        <w:pStyle w:val="FSBullet1"/>
      </w:pPr>
      <w:r>
        <w:t>Table 6 –</w:t>
      </w:r>
      <w:r w:rsidR="0025383C">
        <w:t xml:space="preserve"> </w:t>
      </w:r>
      <w:r w:rsidR="00072CC7">
        <w:t>Part 2.9 standards</w:t>
      </w:r>
    </w:p>
    <w:p w14:paraId="2C6D7F83" w14:textId="77777777" w:rsidR="00072CC7" w:rsidRDefault="00072CC7" w:rsidP="00072CC7">
      <w:pPr>
        <w:rPr>
          <w:lang w:bidi="ar-SA"/>
        </w:rPr>
      </w:pPr>
    </w:p>
    <w:p w14:paraId="7FC1815A" w14:textId="5C79D6A6" w:rsidR="00072CC7" w:rsidRDefault="00072CC7" w:rsidP="00072CC7">
      <w:pPr>
        <w:rPr>
          <w:lang w:bidi="ar-SA"/>
        </w:rPr>
      </w:pPr>
      <w:r>
        <w:rPr>
          <w:lang w:bidi="ar-SA"/>
        </w:rPr>
        <w:br w:type="page"/>
      </w:r>
    </w:p>
    <w:p w14:paraId="492C8E19" w14:textId="77777777" w:rsidR="00072CC7" w:rsidRDefault="00072CC7" w:rsidP="00072CC7">
      <w:pPr>
        <w:rPr>
          <w:lang w:bidi="ar-SA"/>
        </w:rPr>
      </w:pPr>
    </w:p>
    <w:p w14:paraId="4E2AA9AA" w14:textId="3DA49337" w:rsidR="00072CC7" w:rsidRDefault="00072CC7" w:rsidP="00072CC7">
      <w:pPr>
        <w:pStyle w:val="FSTableTitle"/>
        <w:rPr>
          <w:lang w:bidi="ar-SA"/>
        </w:rPr>
      </w:pPr>
      <w:bookmarkStart w:id="3" w:name="_Toc474307570"/>
      <w:r>
        <w:rPr>
          <w:lang w:bidi="ar-SA"/>
        </w:rPr>
        <w:t xml:space="preserve">Table 1: Abbreviations used in </w:t>
      </w:r>
      <w:bookmarkEnd w:id="3"/>
      <w:r>
        <w:rPr>
          <w:lang w:bidi="ar-SA"/>
        </w:rPr>
        <w:t>Tables</w:t>
      </w:r>
    </w:p>
    <w:p w14:paraId="55BBB513" w14:textId="77777777" w:rsidR="00072CC7" w:rsidRPr="001B306F" w:rsidRDefault="00072CC7" w:rsidP="00072CC7">
      <w:pPr>
        <w:rPr>
          <w:lang w:bidi="ar-SA"/>
        </w:rPr>
      </w:pPr>
    </w:p>
    <w:tbl>
      <w:tblPr>
        <w:tblStyle w:val="TableGrid5"/>
        <w:tblW w:w="90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6. Abbreviations of submitters used in the attachments"/>
        <w:tblDescription w:val="List of abbreviations used in above tables"/>
      </w:tblPr>
      <w:tblGrid>
        <w:gridCol w:w="1527"/>
        <w:gridCol w:w="7545"/>
      </w:tblGrid>
      <w:tr w:rsidR="00072CC7" w:rsidRPr="005A6B0B" w14:paraId="6227A50E" w14:textId="77777777" w:rsidTr="00072CC7">
        <w:tc>
          <w:tcPr>
            <w:tcW w:w="1527" w:type="dxa"/>
          </w:tcPr>
          <w:p w14:paraId="1D1E7D56" w14:textId="77777777" w:rsidR="00072CC7" w:rsidRPr="005A6B0B" w:rsidRDefault="00072CC7" w:rsidP="00072CC7">
            <w:pPr>
              <w:rPr>
                <w:rFonts w:cs="Arial"/>
                <w:sz w:val="20"/>
                <w:szCs w:val="20"/>
              </w:rPr>
            </w:pPr>
            <w:r w:rsidRPr="005A6B0B">
              <w:rPr>
                <w:rFonts w:cs="Arial"/>
                <w:sz w:val="20"/>
                <w:szCs w:val="20"/>
              </w:rPr>
              <w:t>Aspen</w:t>
            </w:r>
          </w:p>
        </w:tc>
        <w:tc>
          <w:tcPr>
            <w:tcW w:w="7545" w:type="dxa"/>
          </w:tcPr>
          <w:p w14:paraId="35BB0124"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Aspen Nutritionals Australia Pty Ltd</w:t>
            </w:r>
          </w:p>
        </w:tc>
      </w:tr>
      <w:tr w:rsidR="00072CC7" w:rsidRPr="005A6B0B" w14:paraId="4BD217ED" w14:textId="77777777" w:rsidTr="00072CC7">
        <w:tc>
          <w:tcPr>
            <w:tcW w:w="1527" w:type="dxa"/>
          </w:tcPr>
          <w:p w14:paraId="25F40844" w14:textId="77777777" w:rsidR="00072CC7" w:rsidRPr="005A6B0B" w:rsidRDefault="00072CC7" w:rsidP="00072CC7">
            <w:pPr>
              <w:rPr>
                <w:rFonts w:cs="Arial"/>
                <w:sz w:val="20"/>
                <w:szCs w:val="20"/>
              </w:rPr>
            </w:pPr>
            <w:r w:rsidRPr="005A6B0B">
              <w:rPr>
                <w:rFonts w:cs="Arial"/>
                <w:sz w:val="20"/>
                <w:szCs w:val="20"/>
              </w:rPr>
              <w:t>ABC</w:t>
            </w:r>
          </w:p>
        </w:tc>
        <w:tc>
          <w:tcPr>
            <w:tcW w:w="7545" w:type="dxa"/>
          </w:tcPr>
          <w:p w14:paraId="1DEDEE0D"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Australian Beverages Council</w:t>
            </w:r>
          </w:p>
        </w:tc>
      </w:tr>
      <w:tr w:rsidR="00072CC7" w:rsidRPr="005A6B0B" w14:paraId="5D5AC509" w14:textId="77777777" w:rsidTr="00072CC7">
        <w:tc>
          <w:tcPr>
            <w:tcW w:w="1527" w:type="dxa"/>
          </w:tcPr>
          <w:p w14:paraId="55ECC992" w14:textId="77777777" w:rsidR="00072CC7" w:rsidRPr="005A6B0B" w:rsidRDefault="00072CC7" w:rsidP="00072CC7">
            <w:pPr>
              <w:rPr>
                <w:rFonts w:cs="Arial"/>
                <w:sz w:val="20"/>
                <w:szCs w:val="20"/>
              </w:rPr>
            </w:pPr>
            <w:r w:rsidRPr="005A6B0B">
              <w:rPr>
                <w:rFonts w:cs="Arial"/>
                <w:sz w:val="20"/>
                <w:szCs w:val="20"/>
              </w:rPr>
              <w:t>AFGC</w:t>
            </w:r>
          </w:p>
        </w:tc>
        <w:tc>
          <w:tcPr>
            <w:tcW w:w="7545" w:type="dxa"/>
          </w:tcPr>
          <w:p w14:paraId="77FDC425"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Australian Food and Grocery Council</w:t>
            </w:r>
          </w:p>
        </w:tc>
      </w:tr>
      <w:tr w:rsidR="00072CC7" w:rsidRPr="005A6B0B" w14:paraId="1B67DA51" w14:textId="77777777" w:rsidTr="00072CC7">
        <w:tc>
          <w:tcPr>
            <w:tcW w:w="1527" w:type="dxa"/>
          </w:tcPr>
          <w:p w14:paraId="7E45E560" w14:textId="77777777" w:rsidR="00072CC7" w:rsidRPr="005A6B0B" w:rsidRDefault="00072CC7" w:rsidP="00072CC7">
            <w:pPr>
              <w:rPr>
                <w:rFonts w:cs="Arial"/>
                <w:sz w:val="20"/>
                <w:szCs w:val="20"/>
              </w:rPr>
            </w:pPr>
            <w:r w:rsidRPr="005A6B0B">
              <w:rPr>
                <w:rFonts w:cs="Arial"/>
                <w:sz w:val="20"/>
                <w:szCs w:val="20"/>
              </w:rPr>
              <w:t>Comvita</w:t>
            </w:r>
          </w:p>
        </w:tc>
        <w:tc>
          <w:tcPr>
            <w:tcW w:w="7545" w:type="dxa"/>
          </w:tcPr>
          <w:p w14:paraId="5A7D7E6C"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Comvita New Zealand Ltd</w:t>
            </w:r>
          </w:p>
        </w:tc>
      </w:tr>
      <w:tr w:rsidR="00072CC7" w:rsidRPr="005A6B0B" w14:paraId="785B1D75" w14:textId="77777777" w:rsidTr="00072CC7">
        <w:tc>
          <w:tcPr>
            <w:tcW w:w="1527" w:type="dxa"/>
          </w:tcPr>
          <w:p w14:paraId="7A2F0A2C" w14:textId="77777777" w:rsidR="00072CC7" w:rsidRPr="005A6B0B" w:rsidRDefault="00072CC7" w:rsidP="00072CC7">
            <w:pPr>
              <w:rPr>
                <w:rFonts w:cs="Arial"/>
                <w:sz w:val="20"/>
                <w:szCs w:val="20"/>
              </w:rPr>
            </w:pPr>
            <w:r w:rsidRPr="005A6B0B">
              <w:rPr>
                <w:rFonts w:cs="Arial"/>
                <w:sz w:val="20"/>
                <w:szCs w:val="20"/>
              </w:rPr>
              <w:t>DAA</w:t>
            </w:r>
          </w:p>
        </w:tc>
        <w:tc>
          <w:tcPr>
            <w:tcW w:w="7545" w:type="dxa"/>
          </w:tcPr>
          <w:p w14:paraId="79A63563"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Dietitians Association of Australia</w:t>
            </w:r>
          </w:p>
        </w:tc>
      </w:tr>
      <w:tr w:rsidR="00072CC7" w:rsidRPr="005A6B0B" w14:paraId="79D2E23B" w14:textId="77777777" w:rsidTr="00072CC7">
        <w:tc>
          <w:tcPr>
            <w:tcW w:w="1527" w:type="dxa"/>
          </w:tcPr>
          <w:p w14:paraId="5A861381" w14:textId="77777777" w:rsidR="00072CC7" w:rsidRPr="005A6B0B" w:rsidRDefault="00072CC7" w:rsidP="00072CC7">
            <w:pPr>
              <w:rPr>
                <w:rFonts w:cs="Arial"/>
                <w:sz w:val="20"/>
                <w:szCs w:val="20"/>
              </w:rPr>
            </w:pPr>
            <w:r w:rsidRPr="005A6B0B">
              <w:rPr>
                <w:rFonts w:cs="Arial"/>
                <w:sz w:val="20"/>
                <w:szCs w:val="20"/>
              </w:rPr>
              <w:t>Dairy</w:t>
            </w:r>
          </w:p>
        </w:tc>
        <w:tc>
          <w:tcPr>
            <w:tcW w:w="7545" w:type="dxa"/>
          </w:tcPr>
          <w:p w14:paraId="64A71B65"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Dairy Australia</w:t>
            </w:r>
          </w:p>
        </w:tc>
      </w:tr>
      <w:tr w:rsidR="00072CC7" w:rsidRPr="005A6B0B" w14:paraId="6EBB4290" w14:textId="77777777" w:rsidTr="00072CC7">
        <w:tc>
          <w:tcPr>
            <w:tcW w:w="1527" w:type="dxa"/>
          </w:tcPr>
          <w:p w14:paraId="2A3DEAE5" w14:textId="77777777" w:rsidR="00072CC7" w:rsidRPr="005A6B0B" w:rsidRDefault="00072CC7" w:rsidP="00072CC7">
            <w:pPr>
              <w:rPr>
                <w:rFonts w:cs="Arial"/>
                <w:sz w:val="20"/>
                <w:szCs w:val="20"/>
              </w:rPr>
            </w:pPr>
            <w:r w:rsidRPr="005A6B0B">
              <w:rPr>
                <w:rFonts w:cs="Arial"/>
                <w:sz w:val="20"/>
                <w:szCs w:val="20"/>
              </w:rPr>
              <w:t>DCANZ</w:t>
            </w:r>
          </w:p>
        </w:tc>
        <w:tc>
          <w:tcPr>
            <w:tcW w:w="7545" w:type="dxa"/>
          </w:tcPr>
          <w:p w14:paraId="2469179A"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Dairy Companies Association of New Zealand</w:t>
            </w:r>
          </w:p>
        </w:tc>
      </w:tr>
      <w:tr w:rsidR="00072CC7" w:rsidRPr="005A6B0B" w14:paraId="28A28E92" w14:textId="77777777" w:rsidTr="00072CC7">
        <w:tc>
          <w:tcPr>
            <w:tcW w:w="1527" w:type="dxa"/>
          </w:tcPr>
          <w:p w14:paraId="20F5836D" w14:textId="77777777" w:rsidR="00072CC7" w:rsidRPr="005A6B0B" w:rsidRDefault="00072CC7" w:rsidP="00072CC7">
            <w:pPr>
              <w:rPr>
                <w:rFonts w:cs="Arial"/>
                <w:sz w:val="20"/>
                <w:szCs w:val="20"/>
              </w:rPr>
            </w:pPr>
            <w:r w:rsidRPr="005A6B0B">
              <w:rPr>
                <w:rFonts w:cs="Arial"/>
                <w:sz w:val="20"/>
                <w:szCs w:val="20"/>
              </w:rPr>
              <w:t>DGC</w:t>
            </w:r>
          </w:p>
        </w:tc>
        <w:tc>
          <w:tcPr>
            <w:tcW w:w="7545" w:type="dxa"/>
          </w:tcPr>
          <w:p w14:paraId="05BFC2D8"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 xml:space="preserve">Dairy Goat Co-operative </w:t>
            </w:r>
          </w:p>
        </w:tc>
      </w:tr>
      <w:tr w:rsidR="00072CC7" w:rsidRPr="005A6B0B" w14:paraId="4293FE6C" w14:textId="77777777" w:rsidTr="00072CC7">
        <w:tc>
          <w:tcPr>
            <w:tcW w:w="1527" w:type="dxa"/>
          </w:tcPr>
          <w:p w14:paraId="7F44300E" w14:textId="77777777" w:rsidR="00072CC7" w:rsidRPr="005A6B0B" w:rsidRDefault="00072CC7" w:rsidP="00072CC7">
            <w:pPr>
              <w:rPr>
                <w:rFonts w:cs="Arial"/>
                <w:sz w:val="20"/>
                <w:szCs w:val="20"/>
              </w:rPr>
            </w:pPr>
            <w:r w:rsidRPr="005A6B0B">
              <w:rPr>
                <w:rFonts w:cs="Arial"/>
                <w:sz w:val="20"/>
                <w:szCs w:val="20"/>
              </w:rPr>
              <w:t>DN</w:t>
            </w:r>
          </w:p>
        </w:tc>
        <w:tc>
          <w:tcPr>
            <w:tcW w:w="7545" w:type="dxa"/>
          </w:tcPr>
          <w:p w14:paraId="75F4920D"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Danone Nutricia</w:t>
            </w:r>
          </w:p>
        </w:tc>
      </w:tr>
      <w:tr w:rsidR="00072CC7" w:rsidRPr="005A6B0B" w14:paraId="043E022E" w14:textId="77777777" w:rsidTr="00072CC7">
        <w:tc>
          <w:tcPr>
            <w:tcW w:w="1527" w:type="dxa"/>
          </w:tcPr>
          <w:p w14:paraId="42945F42" w14:textId="77777777" w:rsidR="00072CC7" w:rsidRPr="005A6B0B" w:rsidRDefault="00072CC7" w:rsidP="00072CC7">
            <w:pPr>
              <w:rPr>
                <w:rFonts w:cs="Arial"/>
                <w:sz w:val="20"/>
                <w:szCs w:val="20"/>
              </w:rPr>
            </w:pPr>
            <w:r w:rsidRPr="005A6B0B">
              <w:rPr>
                <w:rFonts w:cs="Arial"/>
                <w:sz w:val="20"/>
                <w:szCs w:val="20"/>
              </w:rPr>
              <w:t>FBIA</w:t>
            </w:r>
          </w:p>
        </w:tc>
        <w:tc>
          <w:tcPr>
            <w:tcW w:w="7545" w:type="dxa"/>
          </w:tcPr>
          <w:p w14:paraId="511741A4"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Food and Beverage Importers Association</w:t>
            </w:r>
          </w:p>
        </w:tc>
      </w:tr>
      <w:tr w:rsidR="00072CC7" w:rsidRPr="005A6B0B" w14:paraId="12ED9164" w14:textId="77777777" w:rsidTr="00072CC7">
        <w:tc>
          <w:tcPr>
            <w:tcW w:w="1527" w:type="dxa"/>
          </w:tcPr>
          <w:p w14:paraId="59E64AC4" w14:textId="77777777" w:rsidR="00072CC7" w:rsidRPr="005A6B0B" w:rsidRDefault="00072CC7" w:rsidP="00072CC7">
            <w:pPr>
              <w:rPr>
                <w:rFonts w:cs="Arial"/>
                <w:sz w:val="20"/>
                <w:szCs w:val="20"/>
              </w:rPr>
            </w:pPr>
            <w:r w:rsidRPr="005A6B0B">
              <w:rPr>
                <w:rFonts w:cs="Arial"/>
                <w:sz w:val="20"/>
                <w:szCs w:val="20"/>
              </w:rPr>
              <w:t>Fonterra</w:t>
            </w:r>
          </w:p>
        </w:tc>
        <w:tc>
          <w:tcPr>
            <w:tcW w:w="7545" w:type="dxa"/>
          </w:tcPr>
          <w:p w14:paraId="72CF39E9"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Fonterra Co-operative Group Ltd</w:t>
            </w:r>
          </w:p>
        </w:tc>
      </w:tr>
      <w:tr w:rsidR="00072CC7" w:rsidRPr="005A6B0B" w14:paraId="49056BB4" w14:textId="77777777" w:rsidTr="00072CC7">
        <w:tc>
          <w:tcPr>
            <w:tcW w:w="1527" w:type="dxa"/>
          </w:tcPr>
          <w:p w14:paraId="3EEF5277" w14:textId="77777777" w:rsidR="00072CC7" w:rsidRPr="005A6B0B" w:rsidRDefault="00072CC7" w:rsidP="00072CC7">
            <w:pPr>
              <w:rPr>
                <w:rFonts w:cs="Arial"/>
                <w:sz w:val="20"/>
                <w:szCs w:val="20"/>
              </w:rPr>
            </w:pPr>
            <w:r>
              <w:rPr>
                <w:rFonts w:cs="Arial"/>
                <w:sz w:val="20"/>
                <w:szCs w:val="20"/>
              </w:rPr>
              <w:t>FoE</w:t>
            </w:r>
          </w:p>
        </w:tc>
        <w:tc>
          <w:tcPr>
            <w:tcW w:w="7545" w:type="dxa"/>
          </w:tcPr>
          <w:p w14:paraId="7E3B6E5A" w14:textId="77777777" w:rsidR="00072CC7" w:rsidRPr="005A6B0B" w:rsidRDefault="00072CC7" w:rsidP="00072CC7">
            <w:pPr>
              <w:widowControl/>
              <w:autoSpaceDE w:val="0"/>
              <w:autoSpaceDN w:val="0"/>
              <w:adjustRightInd w:val="0"/>
              <w:rPr>
                <w:rFonts w:cs="Arial"/>
                <w:bCs/>
                <w:sz w:val="20"/>
                <w:szCs w:val="20"/>
                <w:lang w:eastAsia="en-GB" w:bidi="ar-SA"/>
              </w:rPr>
            </w:pPr>
            <w:r>
              <w:rPr>
                <w:rFonts w:cs="Arial"/>
                <w:bCs/>
                <w:sz w:val="20"/>
                <w:szCs w:val="20"/>
                <w:lang w:eastAsia="en-GB" w:bidi="ar-SA"/>
              </w:rPr>
              <w:t>Friends of the Earth</w:t>
            </w:r>
          </w:p>
        </w:tc>
      </w:tr>
      <w:tr w:rsidR="00072CC7" w:rsidRPr="005A6B0B" w14:paraId="32468085" w14:textId="77777777" w:rsidTr="00072CC7">
        <w:tc>
          <w:tcPr>
            <w:tcW w:w="1527" w:type="dxa"/>
          </w:tcPr>
          <w:p w14:paraId="7001BFB7" w14:textId="77777777" w:rsidR="00072CC7" w:rsidRPr="005A6B0B" w:rsidRDefault="00072CC7" w:rsidP="00072CC7">
            <w:pPr>
              <w:rPr>
                <w:rFonts w:cs="Arial"/>
                <w:sz w:val="20"/>
                <w:szCs w:val="20"/>
              </w:rPr>
            </w:pPr>
            <w:r w:rsidRPr="005A6B0B">
              <w:rPr>
                <w:rFonts w:cs="Arial"/>
                <w:sz w:val="20"/>
                <w:szCs w:val="20"/>
              </w:rPr>
              <w:t>Frucor</w:t>
            </w:r>
          </w:p>
        </w:tc>
        <w:tc>
          <w:tcPr>
            <w:tcW w:w="7545" w:type="dxa"/>
          </w:tcPr>
          <w:p w14:paraId="0E24BBD5"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Frucor Beverages Ltd</w:t>
            </w:r>
          </w:p>
        </w:tc>
      </w:tr>
      <w:tr w:rsidR="00072CC7" w:rsidRPr="005A6B0B" w14:paraId="54D254C9" w14:textId="77777777" w:rsidTr="00072CC7">
        <w:tc>
          <w:tcPr>
            <w:tcW w:w="1527" w:type="dxa"/>
          </w:tcPr>
          <w:p w14:paraId="55BD3340" w14:textId="77777777" w:rsidR="00072CC7" w:rsidRPr="005A6B0B" w:rsidRDefault="00072CC7" w:rsidP="00072CC7">
            <w:pPr>
              <w:rPr>
                <w:rFonts w:cs="Arial"/>
                <w:sz w:val="20"/>
                <w:szCs w:val="20"/>
              </w:rPr>
            </w:pPr>
            <w:r w:rsidRPr="005A6B0B">
              <w:rPr>
                <w:rFonts w:cs="Arial"/>
                <w:sz w:val="20"/>
                <w:szCs w:val="20"/>
              </w:rPr>
              <w:t>GNT</w:t>
            </w:r>
          </w:p>
        </w:tc>
        <w:tc>
          <w:tcPr>
            <w:tcW w:w="7545" w:type="dxa"/>
          </w:tcPr>
          <w:p w14:paraId="5663FC49"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GNT International BV</w:t>
            </w:r>
          </w:p>
        </w:tc>
      </w:tr>
      <w:tr w:rsidR="00072CC7" w:rsidRPr="005A6B0B" w14:paraId="0A523724" w14:textId="77777777" w:rsidTr="00072CC7">
        <w:tc>
          <w:tcPr>
            <w:tcW w:w="1527" w:type="dxa"/>
          </w:tcPr>
          <w:p w14:paraId="240B7BD0" w14:textId="77777777" w:rsidR="00072CC7" w:rsidRPr="005A6B0B" w:rsidRDefault="00072CC7" w:rsidP="00072CC7">
            <w:pPr>
              <w:rPr>
                <w:rFonts w:cs="Arial"/>
                <w:sz w:val="20"/>
                <w:szCs w:val="20"/>
              </w:rPr>
            </w:pPr>
            <w:r w:rsidRPr="005A6B0B">
              <w:rPr>
                <w:rFonts w:cs="Arial"/>
                <w:sz w:val="20"/>
                <w:szCs w:val="20"/>
              </w:rPr>
              <w:t>GF</w:t>
            </w:r>
          </w:p>
        </w:tc>
        <w:tc>
          <w:tcPr>
            <w:tcW w:w="7545" w:type="dxa"/>
          </w:tcPr>
          <w:p w14:paraId="67999767"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Goodman Fielder Pty Ltd</w:t>
            </w:r>
          </w:p>
        </w:tc>
      </w:tr>
      <w:tr w:rsidR="00072CC7" w:rsidRPr="005A6B0B" w14:paraId="6FA073FC" w14:textId="77777777" w:rsidTr="00072CC7">
        <w:tc>
          <w:tcPr>
            <w:tcW w:w="1527" w:type="dxa"/>
          </w:tcPr>
          <w:p w14:paraId="0F1A2910" w14:textId="77777777" w:rsidR="00072CC7" w:rsidRPr="005A6B0B" w:rsidRDefault="00072CC7" w:rsidP="00072CC7">
            <w:pPr>
              <w:rPr>
                <w:rFonts w:cs="Arial"/>
                <w:sz w:val="20"/>
                <w:szCs w:val="20"/>
              </w:rPr>
            </w:pPr>
            <w:r w:rsidRPr="005A6B0B">
              <w:rPr>
                <w:rFonts w:cs="Arial"/>
                <w:sz w:val="20"/>
                <w:szCs w:val="20"/>
              </w:rPr>
              <w:t>INC</w:t>
            </w:r>
          </w:p>
        </w:tc>
        <w:tc>
          <w:tcPr>
            <w:tcW w:w="7545" w:type="dxa"/>
          </w:tcPr>
          <w:p w14:paraId="79A5FB23"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Infant Nutrition Council</w:t>
            </w:r>
          </w:p>
        </w:tc>
      </w:tr>
      <w:tr w:rsidR="00072CC7" w:rsidRPr="005A6B0B" w14:paraId="02083990" w14:textId="77777777" w:rsidTr="00072CC7">
        <w:tc>
          <w:tcPr>
            <w:tcW w:w="1527" w:type="dxa"/>
          </w:tcPr>
          <w:p w14:paraId="798E7790" w14:textId="77777777" w:rsidR="00072CC7" w:rsidRPr="005A6B0B" w:rsidRDefault="00072CC7" w:rsidP="00072CC7">
            <w:pPr>
              <w:rPr>
                <w:rFonts w:cs="Arial"/>
                <w:sz w:val="20"/>
                <w:szCs w:val="20"/>
              </w:rPr>
            </w:pPr>
            <w:r w:rsidRPr="005A6B0B">
              <w:rPr>
                <w:rFonts w:cs="Arial"/>
                <w:sz w:val="20"/>
                <w:szCs w:val="20"/>
              </w:rPr>
              <w:t>Nestlé</w:t>
            </w:r>
          </w:p>
        </w:tc>
        <w:tc>
          <w:tcPr>
            <w:tcW w:w="7545" w:type="dxa"/>
          </w:tcPr>
          <w:p w14:paraId="698DDA9A" w14:textId="77777777" w:rsidR="00072CC7" w:rsidRPr="005A6B0B" w:rsidRDefault="00072CC7" w:rsidP="00072CC7">
            <w:pPr>
              <w:widowControl/>
              <w:autoSpaceDE w:val="0"/>
              <w:autoSpaceDN w:val="0"/>
              <w:adjustRightInd w:val="0"/>
              <w:rPr>
                <w:rFonts w:cs="Arial"/>
                <w:bCs/>
                <w:sz w:val="20"/>
                <w:szCs w:val="20"/>
                <w:lang w:eastAsia="en-GB" w:bidi="ar-SA"/>
              </w:rPr>
            </w:pPr>
            <w:r w:rsidRPr="005A6B0B">
              <w:rPr>
                <w:rFonts w:cs="Arial"/>
                <w:bCs/>
                <w:sz w:val="20"/>
                <w:szCs w:val="20"/>
                <w:lang w:eastAsia="en-GB" w:bidi="ar-SA"/>
              </w:rPr>
              <w:t>Nestlé Australia Ltd</w:t>
            </w:r>
          </w:p>
        </w:tc>
      </w:tr>
      <w:tr w:rsidR="00072CC7" w:rsidRPr="005A6B0B" w14:paraId="4661BF48" w14:textId="77777777" w:rsidTr="00072CC7">
        <w:tc>
          <w:tcPr>
            <w:tcW w:w="1527" w:type="dxa"/>
          </w:tcPr>
          <w:p w14:paraId="10950735" w14:textId="77777777" w:rsidR="00072CC7" w:rsidRPr="005A6B0B" w:rsidRDefault="00072CC7" w:rsidP="00072CC7">
            <w:pPr>
              <w:rPr>
                <w:rFonts w:cs="Arial"/>
                <w:sz w:val="20"/>
                <w:szCs w:val="20"/>
              </w:rPr>
            </w:pPr>
            <w:r w:rsidRPr="005A6B0B">
              <w:rPr>
                <w:rFonts w:cs="Arial"/>
                <w:sz w:val="20"/>
                <w:szCs w:val="20"/>
              </w:rPr>
              <w:t>NSWFA</w:t>
            </w:r>
          </w:p>
        </w:tc>
        <w:tc>
          <w:tcPr>
            <w:tcW w:w="7545" w:type="dxa"/>
          </w:tcPr>
          <w:p w14:paraId="40423115" w14:textId="77777777" w:rsidR="00072CC7" w:rsidRPr="005A6B0B" w:rsidRDefault="00072CC7" w:rsidP="00072CC7">
            <w:pPr>
              <w:widowControl/>
              <w:autoSpaceDE w:val="0"/>
              <w:autoSpaceDN w:val="0"/>
              <w:adjustRightInd w:val="0"/>
              <w:rPr>
                <w:rFonts w:cs="Arial"/>
                <w:sz w:val="20"/>
                <w:szCs w:val="20"/>
              </w:rPr>
            </w:pPr>
            <w:r w:rsidRPr="005A6B0B">
              <w:rPr>
                <w:rFonts w:cs="Arial"/>
                <w:sz w:val="20"/>
                <w:szCs w:val="20"/>
              </w:rPr>
              <w:t>New South Wales Food Authority</w:t>
            </w:r>
          </w:p>
        </w:tc>
      </w:tr>
      <w:tr w:rsidR="00072CC7" w:rsidRPr="005A6B0B" w14:paraId="0044D643" w14:textId="77777777" w:rsidTr="00072CC7">
        <w:tc>
          <w:tcPr>
            <w:tcW w:w="1527" w:type="dxa"/>
          </w:tcPr>
          <w:p w14:paraId="2EF40007" w14:textId="77777777" w:rsidR="00072CC7" w:rsidRPr="005A6B0B" w:rsidRDefault="00072CC7" w:rsidP="00072CC7">
            <w:pPr>
              <w:rPr>
                <w:rFonts w:cs="Arial"/>
                <w:sz w:val="20"/>
                <w:szCs w:val="20"/>
              </w:rPr>
            </w:pPr>
            <w:r w:rsidRPr="005A6B0B">
              <w:rPr>
                <w:rFonts w:cs="Arial"/>
                <w:sz w:val="20"/>
                <w:szCs w:val="20"/>
              </w:rPr>
              <w:t>NZFGC</w:t>
            </w:r>
          </w:p>
        </w:tc>
        <w:tc>
          <w:tcPr>
            <w:tcW w:w="7545" w:type="dxa"/>
          </w:tcPr>
          <w:p w14:paraId="61B1E256" w14:textId="77777777" w:rsidR="00072CC7" w:rsidRPr="005A6B0B" w:rsidRDefault="00072CC7" w:rsidP="00072CC7">
            <w:pPr>
              <w:widowControl/>
              <w:autoSpaceDE w:val="0"/>
              <w:autoSpaceDN w:val="0"/>
              <w:adjustRightInd w:val="0"/>
              <w:rPr>
                <w:rFonts w:cs="Arial"/>
                <w:sz w:val="20"/>
                <w:szCs w:val="20"/>
              </w:rPr>
            </w:pPr>
            <w:r w:rsidRPr="005A6B0B">
              <w:rPr>
                <w:rFonts w:cs="Arial"/>
                <w:sz w:val="20"/>
                <w:szCs w:val="20"/>
              </w:rPr>
              <w:t>New Zealand Food and Grocery Council</w:t>
            </w:r>
          </w:p>
        </w:tc>
      </w:tr>
      <w:tr w:rsidR="00072CC7" w:rsidRPr="005A6B0B" w14:paraId="3D95732B" w14:textId="77777777" w:rsidTr="00072CC7">
        <w:tc>
          <w:tcPr>
            <w:tcW w:w="1527" w:type="dxa"/>
          </w:tcPr>
          <w:p w14:paraId="6BDC73B9" w14:textId="77777777" w:rsidR="00072CC7" w:rsidRPr="005A6B0B" w:rsidRDefault="00072CC7" w:rsidP="00072CC7">
            <w:pPr>
              <w:rPr>
                <w:rFonts w:cs="Arial"/>
                <w:sz w:val="20"/>
                <w:szCs w:val="20"/>
              </w:rPr>
            </w:pPr>
            <w:r w:rsidRPr="005A6B0B">
              <w:rPr>
                <w:rFonts w:cs="Arial"/>
                <w:sz w:val="20"/>
                <w:szCs w:val="20"/>
              </w:rPr>
              <w:t>NZMPI</w:t>
            </w:r>
          </w:p>
        </w:tc>
        <w:tc>
          <w:tcPr>
            <w:tcW w:w="7545" w:type="dxa"/>
          </w:tcPr>
          <w:p w14:paraId="03506092" w14:textId="77777777" w:rsidR="00072CC7" w:rsidRPr="005A6B0B" w:rsidRDefault="00072CC7" w:rsidP="00072CC7">
            <w:pPr>
              <w:keepNext/>
              <w:rPr>
                <w:rFonts w:cs="Arial"/>
                <w:sz w:val="20"/>
                <w:szCs w:val="20"/>
              </w:rPr>
            </w:pPr>
            <w:r w:rsidRPr="005A6B0B">
              <w:rPr>
                <w:rFonts w:cs="Arial"/>
                <w:sz w:val="20"/>
                <w:szCs w:val="20"/>
              </w:rPr>
              <w:t>New Zealand Ministry for Primary Industries</w:t>
            </w:r>
          </w:p>
        </w:tc>
      </w:tr>
      <w:tr w:rsidR="00072CC7" w:rsidRPr="005A6B0B" w14:paraId="4E0076D3" w14:textId="77777777" w:rsidTr="00072CC7">
        <w:tc>
          <w:tcPr>
            <w:tcW w:w="1527" w:type="dxa"/>
          </w:tcPr>
          <w:p w14:paraId="296FFFF5" w14:textId="77777777" w:rsidR="00072CC7" w:rsidRPr="005A6B0B" w:rsidRDefault="00072CC7" w:rsidP="00072CC7">
            <w:pPr>
              <w:rPr>
                <w:rFonts w:cs="Arial"/>
                <w:sz w:val="20"/>
                <w:szCs w:val="20"/>
              </w:rPr>
            </w:pPr>
            <w:r w:rsidRPr="005A6B0B">
              <w:rPr>
                <w:rFonts w:cs="Arial"/>
                <w:sz w:val="20"/>
                <w:szCs w:val="20"/>
              </w:rPr>
              <w:t>SA</w:t>
            </w:r>
          </w:p>
        </w:tc>
        <w:tc>
          <w:tcPr>
            <w:tcW w:w="7545" w:type="dxa"/>
          </w:tcPr>
          <w:p w14:paraId="48BB217C" w14:textId="77777777" w:rsidR="00072CC7" w:rsidRPr="005A6B0B" w:rsidRDefault="00072CC7" w:rsidP="00072CC7">
            <w:pPr>
              <w:keepNext/>
              <w:rPr>
                <w:rFonts w:cs="Arial"/>
                <w:sz w:val="20"/>
                <w:szCs w:val="20"/>
              </w:rPr>
            </w:pPr>
            <w:r w:rsidRPr="005A6B0B">
              <w:rPr>
                <w:rFonts w:cs="Arial"/>
                <w:sz w:val="20"/>
                <w:szCs w:val="20"/>
              </w:rPr>
              <w:t>South Australia Health</w:t>
            </w:r>
          </w:p>
        </w:tc>
      </w:tr>
      <w:tr w:rsidR="00072CC7" w:rsidRPr="005A6B0B" w14:paraId="22176CA4" w14:textId="77777777" w:rsidTr="00072CC7">
        <w:tc>
          <w:tcPr>
            <w:tcW w:w="1527" w:type="dxa"/>
          </w:tcPr>
          <w:p w14:paraId="02DB6242" w14:textId="77777777" w:rsidR="00072CC7" w:rsidRPr="005A6B0B" w:rsidRDefault="00072CC7" w:rsidP="00072CC7">
            <w:pPr>
              <w:rPr>
                <w:rFonts w:cs="Arial"/>
                <w:sz w:val="20"/>
                <w:szCs w:val="20"/>
              </w:rPr>
            </w:pPr>
            <w:r w:rsidRPr="005A6B0B">
              <w:rPr>
                <w:rFonts w:cs="Arial"/>
                <w:sz w:val="20"/>
                <w:szCs w:val="20"/>
              </w:rPr>
              <w:t>TGB</w:t>
            </w:r>
          </w:p>
        </w:tc>
        <w:tc>
          <w:tcPr>
            <w:tcW w:w="7545" w:type="dxa"/>
          </w:tcPr>
          <w:p w14:paraId="35553D24" w14:textId="77777777" w:rsidR="00072CC7" w:rsidRPr="005A6B0B" w:rsidRDefault="00072CC7" w:rsidP="00072CC7">
            <w:pPr>
              <w:keepNext/>
              <w:rPr>
                <w:rFonts w:cs="Arial"/>
                <w:sz w:val="20"/>
                <w:szCs w:val="20"/>
              </w:rPr>
            </w:pPr>
            <w:r w:rsidRPr="005A6B0B">
              <w:rPr>
                <w:rFonts w:cs="Arial"/>
                <w:sz w:val="20"/>
                <w:szCs w:val="20"/>
              </w:rPr>
              <w:t>TATA Global Beverages</w:t>
            </w:r>
          </w:p>
        </w:tc>
      </w:tr>
      <w:tr w:rsidR="00072CC7" w:rsidRPr="005A6B0B" w14:paraId="02BB947A" w14:textId="77777777" w:rsidTr="00072CC7">
        <w:tc>
          <w:tcPr>
            <w:tcW w:w="1527" w:type="dxa"/>
          </w:tcPr>
          <w:p w14:paraId="77AFA2E5" w14:textId="77777777" w:rsidR="00072CC7" w:rsidRPr="005A6B0B" w:rsidRDefault="00072CC7" w:rsidP="00072CC7">
            <w:pPr>
              <w:rPr>
                <w:rFonts w:cs="Arial"/>
                <w:sz w:val="20"/>
                <w:szCs w:val="20"/>
              </w:rPr>
            </w:pPr>
            <w:r w:rsidRPr="005A6B0B">
              <w:rPr>
                <w:rFonts w:cs="Arial"/>
                <w:sz w:val="20"/>
                <w:szCs w:val="20"/>
              </w:rPr>
              <w:t>Unilever</w:t>
            </w:r>
          </w:p>
        </w:tc>
        <w:tc>
          <w:tcPr>
            <w:tcW w:w="7545" w:type="dxa"/>
          </w:tcPr>
          <w:p w14:paraId="28092ACC" w14:textId="77777777" w:rsidR="00072CC7" w:rsidRPr="005A6B0B" w:rsidRDefault="00072CC7" w:rsidP="00072CC7">
            <w:pPr>
              <w:keepNext/>
              <w:rPr>
                <w:rFonts w:cs="Arial"/>
                <w:sz w:val="20"/>
                <w:szCs w:val="20"/>
              </w:rPr>
            </w:pPr>
            <w:r w:rsidRPr="005A6B0B">
              <w:rPr>
                <w:rFonts w:cs="Arial"/>
                <w:sz w:val="20"/>
                <w:szCs w:val="20"/>
              </w:rPr>
              <w:t>Unilever Australasia</w:t>
            </w:r>
          </w:p>
        </w:tc>
      </w:tr>
      <w:tr w:rsidR="00072CC7" w:rsidRPr="005A6B0B" w14:paraId="65AC0B68" w14:textId="77777777" w:rsidTr="00072CC7">
        <w:tc>
          <w:tcPr>
            <w:tcW w:w="1527" w:type="dxa"/>
          </w:tcPr>
          <w:p w14:paraId="713BC0EB" w14:textId="77777777" w:rsidR="00072CC7" w:rsidRPr="005A6B0B" w:rsidRDefault="00072CC7" w:rsidP="00072CC7">
            <w:pPr>
              <w:rPr>
                <w:rFonts w:cs="Arial"/>
                <w:sz w:val="20"/>
                <w:szCs w:val="20"/>
              </w:rPr>
            </w:pPr>
            <w:r w:rsidRPr="005A6B0B">
              <w:rPr>
                <w:rFonts w:cs="Arial"/>
                <w:sz w:val="20"/>
                <w:szCs w:val="20"/>
              </w:rPr>
              <w:t>Vic Govt</w:t>
            </w:r>
          </w:p>
        </w:tc>
        <w:tc>
          <w:tcPr>
            <w:tcW w:w="7545" w:type="dxa"/>
          </w:tcPr>
          <w:p w14:paraId="1C64E4D9" w14:textId="77777777" w:rsidR="00072CC7" w:rsidRPr="005A6B0B" w:rsidRDefault="00072CC7" w:rsidP="00072CC7">
            <w:pPr>
              <w:keepNext/>
              <w:rPr>
                <w:rFonts w:cs="Arial"/>
                <w:sz w:val="20"/>
                <w:szCs w:val="20"/>
              </w:rPr>
            </w:pPr>
            <w:r w:rsidRPr="005A6B0B">
              <w:rPr>
                <w:rFonts w:cs="Arial"/>
                <w:bCs/>
                <w:sz w:val="20"/>
                <w:szCs w:val="20"/>
                <w:lang w:eastAsia="en-GB" w:bidi="ar-SA"/>
              </w:rPr>
              <w:t>Victorian Departments of Health &amp; Human Services and Economic Development, Jobs, Transport &amp; Resources</w:t>
            </w:r>
          </w:p>
        </w:tc>
      </w:tr>
    </w:tbl>
    <w:p w14:paraId="3D8C65D0" w14:textId="77777777" w:rsidR="00072CC7" w:rsidRPr="00072CC7" w:rsidRDefault="00072CC7" w:rsidP="00072CC7">
      <w:pPr>
        <w:rPr>
          <w:lang w:bidi="ar-SA"/>
        </w:rPr>
        <w:sectPr w:rsidR="00072CC7" w:rsidRPr="00072CC7"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67DDB880" w14:textId="31A464E4" w:rsidR="005554C7" w:rsidRDefault="005554C7" w:rsidP="00072CC7">
      <w:pPr>
        <w:pStyle w:val="FSTableTitle"/>
        <w:tabs>
          <w:tab w:val="left" w:pos="5355"/>
        </w:tabs>
      </w:pPr>
      <w:r>
        <w:lastRenderedPageBreak/>
        <w:t xml:space="preserve">Table </w:t>
      </w:r>
      <w:r w:rsidR="00072CC7">
        <w:t>2</w:t>
      </w:r>
      <w:r w:rsidR="001B306F">
        <w:t xml:space="preserve">: </w:t>
      </w:r>
      <w:r w:rsidRPr="00A15CB9">
        <w:t>Support for various regulatory options</w:t>
      </w:r>
    </w:p>
    <w:p w14:paraId="20975C1E" w14:textId="77777777" w:rsidR="001B306F" w:rsidRPr="001B306F" w:rsidRDefault="001B306F" w:rsidP="00072CC7"/>
    <w:tbl>
      <w:tblPr>
        <w:tblStyle w:val="TableGrid"/>
        <w:tblW w:w="14175" w:type="dxa"/>
        <w:tblLook w:val="06A0" w:firstRow="1" w:lastRow="0" w:firstColumn="1" w:lastColumn="0" w:noHBand="1" w:noVBand="1"/>
        <w:tblCaption w:val="Table 1. Support for various regulatory options"/>
        <w:tblDescription w:val="Submitters generally supported option 3 - the development of a new framework for nutritive substances and novel foods"/>
      </w:tblPr>
      <w:tblGrid>
        <w:gridCol w:w="2245"/>
        <w:gridCol w:w="4637"/>
        <w:gridCol w:w="4470"/>
        <w:gridCol w:w="2823"/>
      </w:tblGrid>
      <w:tr w:rsidR="00227581" w:rsidRPr="00A15CB9" w14:paraId="78F7B00D" w14:textId="77777777" w:rsidTr="001B306F">
        <w:trPr>
          <w:tblHeader/>
        </w:trPr>
        <w:tc>
          <w:tcPr>
            <w:tcW w:w="2279" w:type="dxa"/>
            <w:tcBorders>
              <w:bottom w:val="single" w:sz="4" w:space="0" w:color="000000"/>
            </w:tcBorders>
            <w:shd w:val="clear" w:color="auto" w:fill="76923C" w:themeFill="accent3" w:themeFillShade="BF"/>
          </w:tcPr>
          <w:p w14:paraId="3FFBE8BB" w14:textId="77777777" w:rsidR="005554C7" w:rsidRPr="00A15CB9" w:rsidRDefault="005554C7" w:rsidP="005554C7">
            <w:pPr>
              <w:pStyle w:val="FSTableHeading"/>
            </w:pPr>
            <w:r w:rsidRPr="00A15CB9">
              <w:t>Regulatory Option</w:t>
            </w:r>
          </w:p>
        </w:tc>
        <w:tc>
          <w:tcPr>
            <w:tcW w:w="4759" w:type="dxa"/>
            <w:tcBorders>
              <w:bottom w:val="single" w:sz="4" w:space="0" w:color="000000"/>
            </w:tcBorders>
            <w:shd w:val="clear" w:color="auto" w:fill="76923C" w:themeFill="accent3" w:themeFillShade="BF"/>
          </w:tcPr>
          <w:p w14:paraId="3E1C2CCB" w14:textId="77777777" w:rsidR="005554C7" w:rsidRPr="00A15CB9" w:rsidRDefault="005554C7" w:rsidP="005554C7">
            <w:pPr>
              <w:pStyle w:val="FSTableHeading"/>
            </w:pPr>
            <w:r w:rsidRPr="00A15CB9">
              <w:t>Supports</w:t>
            </w:r>
          </w:p>
        </w:tc>
        <w:tc>
          <w:tcPr>
            <w:tcW w:w="4590" w:type="dxa"/>
            <w:tcBorders>
              <w:bottom w:val="single" w:sz="4" w:space="0" w:color="000000"/>
            </w:tcBorders>
            <w:shd w:val="clear" w:color="auto" w:fill="76923C" w:themeFill="accent3" w:themeFillShade="BF"/>
          </w:tcPr>
          <w:p w14:paraId="59EF3FEF" w14:textId="77777777" w:rsidR="005554C7" w:rsidRPr="00A15CB9" w:rsidRDefault="005554C7" w:rsidP="005554C7">
            <w:pPr>
              <w:pStyle w:val="FSTableHeading"/>
            </w:pPr>
            <w:r w:rsidRPr="00A15CB9">
              <w:t>Does not support</w:t>
            </w:r>
          </w:p>
        </w:tc>
        <w:tc>
          <w:tcPr>
            <w:tcW w:w="2874" w:type="dxa"/>
            <w:tcBorders>
              <w:bottom w:val="single" w:sz="4" w:space="0" w:color="000000"/>
            </w:tcBorders>
            <w:shd w:val="clear" w:color="auto" w:fill="76923C" w:themeFill="accent3" w:themeFillShade="BF"/>
          </w:tcPr>
          <w:p w14:paraId="4A74AC02" w14:textId="77777777" w:rsidR="005554C7" w:rsidRPr="00A15CB9" w:rsidRDefault="005554C7" w:rsidP="005554C7">
            <w:pPr>
              <w:pStyle w:val="FSTableHeading"/>
            </w:pPr>
            <w:r>
              <w:t>Response</w:t>
            </w:r>
          </w:p>
        </w:tc>
      </w:tr>
      <w:tr w:rsidR="00227581" w:rsidRPr="00A15CB9" w14:paraId="79F0D888" w14:textId="77777777" w:rsidTr="001B306F">
        <w:tc>
          <w:tcPr>
            <w:tcW w:w="2279" w:type="dxa"/>
            <w:shd w:val="clear" w:color="auto" w:fill="EAF1DD" w:themeFill="accent3" w:themeFillTint="33"/>
            <w:vAlign w:val="center"/>
          </w:tcPr>
          <w:p w14:paraId="5129CF11" w14:textId="77777777" w:rsidR="005554C7" w:rsidRPr="00A15CB9" w:rsidRDefault="005554C7" w:rsidP="005554C7">
            <w:pPr>
              <w:pStyle w:val="FSTableHeading"/>
            </w:pPr>
            <w:r w:rsidRPr="00A15CB9">
              <w:t>Option 1</w:t>
            </w:r>
            <w:r>
              <w:t xml:space="preserve"> – Status Quo</w:t>
            </w:r>
          </w:p>
        </w:tc>
        <w:tc>
          <w:tcPr>
            <w:tcW w:w="4759" w:type="dxa"/>
            <w:shd w:val="clear" w:color="auto" w:fill="auto"/>
            <w:vAlign w:val="center"/>
          </w:tcPr>
          <w:p w14:paraId="4BF9B20A" w14:textId="77777777" w:rsidR="005554C7" w:rsidRPr="00A15CB9" w:rsidRDefault="005554C7" w:rsidP="005554C7">
            <w:pPr>
              <w:spacing w:before="60" w:after="60"/>
              <w:rPr>
                <w:sz w:val="20"/>
                <w:szCs w:val="20"/>
              </w:rPr>
            </w:pPr>
          </w:p>
        </w:tc>
        <w:tc>
          <w:tcPr>
            <w:tcW w:w="4590" w:type="dxa"/>
            <w:shd w:val="clear" w:color="auto" w:fill="auto"/>
            <w:vAlign w:val="center"/>
          </w:tcPr>
          <w:p w14:paraId="453014EE" w14:textId="77777777" w:rsidR="005554C7" w:rsidRPr="00A15CB9" w:rsidRDefault="005554C7" w:rsidP="005554C7">
            <w:pPr>
              <w:spacing w:before="60" w:after="60"/>
              <w:rPr>
                <w:b/>
              </w:rPr>
            </w:pPr>
            <w:r w:rsidRPr="00A15CB9">
              <w:rPr>
                <w:rFonts w:cs="Arial"/>
                <w:sz w:val="20"/>
                <w:szCs w:val="20"/>
              </w:rPr>
              <w:t>Aspen, ABC, AFGC, FBIA, Frucor, INC, NZFGC, TGB</w:t>
            </w:r>
          </w:p>
        </w:tc>
        <w:tc>
          <w:tcPr>
            <w:tcW w:w="2874" w:type="dxa"/>
            <w:vMerge w:val="restart"/>
          </w:tcPr>
          <w:p w14:paraId="609FCC7F" w14:textId="77777777" w:rsidR="005554C7" w:rsidRPr="00A15CB9" w:rsidRDefault="005554C7" w:rsidP="005554C7">
            <w:pPr>
              <w:spacing w:before="60" w:after="60"/>
              <w:rPr>
                <w:rFonts w:cs="Arial"/>
                <w:sz w:val="20"/>
                <w:szCs w:val="20"/>
              </w:rPr>
            </w:pPr>
          </w:p>
          <w:p w14:paraId="6D74FC66" w14:textId="6C7075F2" w:rsidR="005554C7" w:rsidRPr="00A15CB9" w:rsidRDefault="00227581" w:rsidP="005554C7">
            <w:pPr>
              <w:spacing w:before="60" w:after="60"/>
              <w:rPr>
                <w:rFonts w:cs="Arial"/>
                <w:sz w:val="20"/>
                <w:szCs w:val="20"/>
              </w:rPr>
            </w:pPr>
            <w:r>
              <w:rPr>
                <w:rFonts w:cs="Arial"/>
                <w:sz w:val="20"/>
                <w:szCs w:val="20"/>
              </w:rPr>
              <w:t xml:space="preserve">For the reasons outlined in the Consultation Paper, </w:t>
            </w:r>
            <w:r w:rsidR="005554C7">
              <w:rPr>
                <w:rFonts w:cs="Arial"/>
                <w:sz w:val="20"/>
                <w:szCs w:val="20"/>
              </w:rPr>
              <w:t xml:space="preserve">Option 3 </w:t>
            </w:r>
            <w:r>
              <w:rPr>
                <w:rFonts w:cs="Arial"/>
                <w:sz w:val="20"/>
                <w:szCs w:val="20"/>
              </w:rPr>
              <w:t>remains FSANZ’s</w:t>
            </w:r>
            <w:r w:rsidR="001B306F">
              <w:rPr>
                <w:rFonts w:cs="Arial"/>
                <w:sz w:val="20"/>
                <w:szCs w:val="20"/>
              </w:rPr>
              <w:t xml:space="preserve"> </w:t>
            </w:r>
            <w:r w:rsidR="005554C7">
              <w:rPr>
                <w:rFonts w:cs="Arial"/>
                <w:sz w:val="20"/>
                <w:szCs w:val="20"/>
              </w:rPr>
              <w:t>preferred option</w:t>
            </w:r>
            <w:r w:rsidR="0025383C">
              <w:rPr>
                <w:rFonts w:cs="Arial"/>
                <w:sz w:val="20"/>
                <w:szCs w:val="20"/>
              </w:rPr>
              <w:t xml:space="preserve">, </w:t>
            </w:r>
            <w:r>
              <w:rPr>
                <w:rFonts w:cs="Arial"/>
                <w:sz w:val="20"/>
                <w:szCs w:val="20"/>
              </w:rPr>
              <w:t>subject to further consultation on the</w:t>
            </w:r>
            <w:r w:rsidR="0025383C">
              <w:rPr>
                <w:rFonts w:cs="Arial"/>
                <w:sz w:val="20"/>
                <w:szCs w:val="20"/>
              </w:rPr>
              <w:t xml:space="preserve"> modified framework (section 2.2 of the consultation paper).</w:t>
            </w:r>
          </w:p>
          <w:p w14:paraId="3C03D435" w14:textId="77777777" w:rsidR="005554C7" w:rsidRPr="00A15CB9" w:rsidRDefault="005554C7" w:rsidP="005554C7">
            <w:pPr>
              <w:spacing w:before="60" w:after="60"/>
              <w:rPr>
                <w:rFonts w:cs="Arial"/>
                <w:sz w:val="20"/>
                <w:szCs w:val="20"/>
              </w:rPr>
            </w:pPr>
          </w:p>
        </w:tc>
      </w:tr>
      <w:tr w:rsidR="00227581" w:rsidRPr="00A15CB9" w14:paraId="16063C70" w14:textId="77777777" w:rsidTr="001B306F">
        <w:tc>
          <w:tcPr>
            <w:tcW w:w="2279" w:type="dxa"/>
            <w:shd w:val="clear" w:color="auto" w:fill="EAF1DD" w:themeFill="accent3" w:themeFillTint="33"/>
            <w:vAlign w:val="center"/>
          </w:tcPr>
          <w:p w14:paraId="27AFCD19" w14:textId="77777777" w:rsidR="005554C7" w:rsidRPr="00A15CB9" w:rsidRDefault="005554C7" w:rsidP="005554C7">
            <w:pPr>
              <w:pStyle w:val="FSTableHeading"/>
            </w:pPr>
            <w:r w:rsidRPr="00A15CB9">
              <w:t>Option 2</w:t>
            </w:r>
            <w:r>
              <w:t xml:space="preserve"> – Amend definitions</w:t>
            </w:r>
          </w:p>
        </w:tc>
        <w:tc>
          <w:tcPr>
            <w:tcW w:w="4759" w:type="dxa"/>
            <w:shd w:val="clear" w:color="auto" w:fill="auto"/>
            <w:vAlign w:val="center"/>
          </w:tcPr>
          <w:p w14:paraId="1E5BFCF2" w14:textId="77777777" w:rsidR="005554C7" w:rsidRPr="00A15CB9" w:rsidRDefault="005554C7" w:rsidP="005554C7">
            <w:pPr>
              <w:spacing w:before="60" w:after="60"/>
              <w:rPr>
                <w:sz w:val="20"/>
                <w:szCs w:val="20"/>
              </w:rPr>
            </w:pPr>
            <w:r w:rsidRPr="00A15CB9">
              <w:rPr>
                <w:sz w:val="20"/>
                <w:szCs w:val="20"/>
              </w:rPr>
              <w:t>TGB</w:t>
            </w:r>
          </w:p>
        </w:tc>
        <w:tc>
          <w:tcPr>
            <w:tcW w:w="4590" w:type="dxa"/>
            <w:shd w:val="clear" w:color="auto" w:fill="auto"/>
            <w:vAlign w:val="center"/>
          </w:tcPr>
          <w:p w14:paraId="4A03809E" w14:textId="77777777" w:rsidR="005554C7" w:rsidRPr="00A15CB9" w:rsidRDefault="005554C7" w:rsidP="005554C7">
            <w:pPr>
              <w:spacing w:before="60" w:after="60"/>
              <w:rPr>
                <w:b/>
              </w:rPr>
            </w:pPr>
            <w:r w:rsidRPr="00A15CB9">
              <w:rPr>
                <w:rFonts w:cs="Arial"/>
                <w:sz w:val="20"/>
                <w:szCs w:val="20"/>
              </w:rPr>
              <w:t>Aspen, ABC, AFGC, NZMPI, Frucor, INC, NZFGC</w:t>
            </w:r>
          </w:p>
        </w:tc>
        <w:tc>
          <w:tcPr>
            <w:tcW w:w="2874" w:type="dxa"/>
            <w:vMerge/>
          </w:tcPr>
          <w:p w14:paraId="036A09CA" w14:textId="77777777" w:rsidR="005554C7" w:rsidRPr="00A15CB9" w:rsidRDefault="005554C7" w:rsidP="005554C7">
            <w:pPr>
              <w:spacing w:before="60" w:after="60"/>
              <w:rPr>
                <w:rFonts w:cs="Arial"/>
                <w:sz w:val="20"/>
                <w:szCs w:val="20"/>
              </w:rPr>
            </w:pPr>
          </w:p>
        </w:tc>
      </w:tr>
      <w:tr w:rsidR="00227581" w:rsidRPr="00A15CB9" w14:paraId="5E81E0D7" w14:textId="77777777" w:rsidTr="001B306F">
        <w:tc>
          <w:tcPr>
            <w:tcW w:w="2279" w:type="dxa"/>
            <w:tcBorders>
              <w:bottom w:val="single" w:sz="4" w:space="0" w:color="000000"/>
            </w:tcBorders>
            <w:shd w:val="clear" w:color="auto" w:fill="EAF1DD" w:themeFill="accent3" w:themeFillTint="33"/>
            <w:vAlign w:val="center"/>
          </w:tcPr>
          <w:p w14:paraId="0849550E" w14:textId="77777777" w:rsidR="005554C7" w:rsidRPr="00A15CB9" w:rsidRDefault="005554C7" w:rsidP="005554C7">
            <w:pPr>
              <w:pStyle w:val="FSTableHeading"/>
            </w:pPr>
            <w:r w:rsidRPr="00A15CB9">
              <w:t>Option 3</w:t>
            </w:r>
            <w:r>
              <w:t xml:space="preserve"> – a new framework</w:t>
            </w:r>
          </w:p>
        </w:tc>
        <w:tc>
          <w:tcPr>
            <w:tcW w:w="4759" w:type="dxa"/>
            <w:tcBorders>
              <w:bottom w:val="single" w:sz="4" w:space="0" w:color="000000"/>
            </w:tcBorders>
            <w:shd w:val="clear" w:color="auto" w:fill="auto"/>
            <w:vAlign w:val="center"/>
          </w:tcPr>
          <w:p w14:paraId="0050AEB1" w14:textId="77777777" w:rsidR="005554C7" w:rsidRPr="00A15CB9" w:rsidRDefault="005554C7" w:rsidP="005554C7">
            <w:pPr>
              <w:spacing w:before="60" w:after="60"/>
              <w:rPr>
                <w:sz w:val="20"/>
                <w:szCs w:val="20"/>
              </w:rPr>
            </w:pPr>
            <w:r w:rsidRPr="00A15CB9">
              <w:rPr>
                <w:sz w:val="20"/>
                <w:szCs w:val="20"/>
              </w:rPr>
              <w:t>Aspen,  ABC, AFGC, Comvita, DAA, Dairy, DGC, DN, Fonterra, Frucor, GF, INC, Nestlé, NZFGC, TGB, Vic Govt</w:t>
            </w:r>
          </w:p>
        </w:tc>
        <w:tc>
          <w:tcPr>
            <w:tcW w:w="4590" w:type="dxa"/>
            <w:tcBorders>
              <w:bottom w:val="single" w:sz="4" w:space="0" w:color="000000"/>
            </w:tcBorders>
            <w:shd w:val="clear" w:color="auto" w:fill="auto"/>
            <w:vAlign w:val="center"/>
          </w:tcPr>
          <w:p w14:paraId="324A5D0C" w14:textId="77777777" w:rsidR="005554C7" w:rsidRPr="00A15CB9" w:rsidRDefault="005554C7" w:rsidP="005554C7">
            <w:pPr>
              <w:spacing w:before="60" w:after="60"/>
              <w:rPr>
                <w:b/>
              </w:rPr>
            </w:pPr>
          </w:p>
        </w:tc>
        <w:tc>
          <w:tcPr>
            <w:tcW w:w="2874" w:type="dxa"/>
            <w:vMerge/>
            <w:tcBorders>
              <w:bottom w:val="single" w:sz="4" w:space="0" w:color="000000"/>
            </w:tcBorders>
          </w:tcPr>
          <w:p w14:paraId="69E0574C" w14:textId="77777777" w:rsidR="005554C7" w:rsidRPr="00A15CB9" w:rsidRDefault="005554C7" w:rsidP="005554C7">
            <w:pPr>
              <w:spacing w:before="60" w:after="60"/>
              <w:rPr>
                <w:b/>
              </w:rPr>
            </w:pPr>
          </w:p>
        </w:tc>
      </w:tr>
    </w:tbl>
    <w:p w14:paraId="622FB9EB" w14:textId="77777777" w:rsidR="005554C7" w:rsidRPr="00A15CB9" w:rsidRDefault="005554C7" w:rsidP="005554C7"/>
    <w:p w14:paraId="5BFC648E" w14:textId="3169A892" w:rsidR="005554C7" w:rsidRDefault="005554C7" w:rsidP="005554C7">
      <w:pPr>
        <w:pStyle w:val="FSTableTitle"/>
      </w:pPr>
      <w:r>
        <w:t xml:space="preserve">Table </w:t>
      </w:r>
      <w:r w:rsidR="00072CC7">
        <w:t>3</w:t>
      </w:r>
      <w:r w:rsidR="001B306F">
        <w:t>:</w:t>
      </w:r>
      <w:r>
        <w:t xml:space="preserve"> </w:t>
      </w:r>
      <w:r w:rsidRPr="00A15CB9">
        <w:t>Detailed comments on regulatory options</w:t>
      </w:r>
    </w:p>
    <w:p w14:paraId="7658D0F6" w14:textId="77777777" w:rsidR="001B306F" w:rsidRPr="001B306F" w:rsidRDefault="001B306F" w:rsidP="00072CC7"/>
    <w:tbl>
      <w:tblPr>
        <w:tblStyle w:val="TableGrid"/>
        <w:tblW w:w="14175" w:type="dxa"/>
        <w:tblLook w:val="06A0" w:firstRow="1" w:lastRow="0" w:firstColumn="1" w:lastColumn="0" w:noHBand="1" w:noVBand="1"/>
        <w:tblCaption w:val="Table 2. Detailed comments on regulatory options"/>
        <w:tblDescription w:val="Detailed stakeholder comments on the three regulatory options identified in the first call for submissions"/>
      </w:tblPr>
      <w:tblGrid>
        <w:gridCol w:w="2189"/>
        <w:gridCol w:w="1202"/>
        <w:gridCol w:w="7954"/>
        <w:gridCol w:w="2830"/>
      </w:tblGrid>
      <w:tr w:rsidR="005554C7" w:rsidRPr="00A15CB9" w14:paraId="5A63C213" w14:textId="77777777" w:rsidTr="00072CC7">
        <w:trPr>
          <w:tblHeader/>
        </w:trPr>
        <w:tc>
          <w:tcPr>
            <w:tcW w:w="2189" w:type="dxa"/>
            <w:tcBorders>
              <w:bottom w:val="single" w:sz="4" w:space="0" w:color="000000"/>
            </w:tcBorders>
            <w:shd w:val="clear" w:color="auto" w:fill="76923C" w:themeFill="accent3" w:themeFillShade="BF"/>
          </w:tcPr>
          <w:p w14:paraId="7CAA82E9" w14:textId="77777777" w:rsidR="005554C7" w:rsidRPr="00A15CB9" w:rsidRDefault="005554C7" w:rsidP="005554C7">
            <w:pPr>
              <w:rPr>
                <w:b/>
                <w:color w:val="FFFFFF" w:themeColor="background1"/>
              </w:rPr>
            </w:pPr>
            <w:r w:rsidRPr="00A15CB9">
              <w:rPr>
                <w:b/>
                <w:color w:val="FFFFFF" w:themeColor="background1"/>
              </w:rPr>
              <w:t>Issue</w:t>
            </w:r>
          </w:p>
        </w:tc>
        <w:tc>
          <w:tcPr>
            <w:tcW w:w="1202" w:type="dxa"/>
            <w:tcBorders>
              <w:bottom w:val="single" w:sz="4" w:space="0" w:color="000000"/>
            </w:tcBorders>
            <w:shd w:val="clear" w:color="auto" w:fill="76923C" w:themeFill="accent3" w:themeFillShade="BF"/>
          </w:tcPr>
          <w:p w14:paraId="346D10FE" w14:textId="77777777" w:rsidR="005554C7" w:rsidRPr="00A15CB9" w:rsidRDefault="005554C7" w:rsidP="005554C7">
            <w:pPr>
              <w:rPr>
                <w:b/>
                <w:color w:val="FFFFFF" w:themeColor="background1"/>
              </w:rPr>
            </w:pPr>
            <w:r w:rsidRPr="00A15CB9">
              <w:rPr>
                <w:b/>
                <w:color w:val="FFFFFF" w:themeColor="background1"/>
              </w:rPr>
              <w:t>Raised by</w:t>
            </w:r>
          </w:p>
        </w:tc>
        <w:tc>
          <w:tcPr>
            <w:tcW w:w="7954" w:type="dxa"/>
            <w:tcBorders>
              <w:bottom w:val="single" w:sz="4" w:space="0" w:color="000000"/>
            </w:tcBorders>
            <w:shd w:val="clear" w:color="auto" w:fill="76923C" w:themeFill="accent3" w:themeFillShade="BF"/>
          </w:tcPr>
          <w:p w14:paraId="5731ACC6" w14:textId="77777777" w:rsidR="005554C7" w:rsidRPr="00A15CB9" w:rsidRDefault="005554C7" w:rsidP="005554C7">
            <w:pPr>
              <w:rPr>
                <w:b/>
                <w:color w:val="FFFFFF" w:themeColor="background1"/>
              </w:rPr>
            </w:pPr>
            <w:r w:rsidRPr="00A15CB9">
              <w:rPr>
                <w:b/>
                <w:color w:val="FFFFFF" w:themeColor="background1"/>
              </w:rPr>
              <w:t>Submitter comments</w:t>
            </w:r>
          </w:p>
          <w:p w14:paraId="27BE133B" w14:textId="77777777" w:rsidR="005554C7" w:rsidRPr="00A15CB9" w:rsidRDefault="005554C7" w:rsidP="005554C7">
            <w:pPr>
              <w:rPr>
                <w:b/>
                <w:color w:val="FFFFFF" w:themeColor="background1"/>
              </w:rPr>
            </w:pPr>
          </w:p>
        </w:tc>
        <w:tc>
          <w:tcPr>
            <w:tcW w:w="2830" w:type="dxa"/>
            <w:tcBorders>
              <w:bottom w:val="single" w:sz="4" w:space="0" w:color="000000"/>
            </w:tcBorders>
            <w:shd w:val="clear" w:color="auto" w:fill="76923C" w:themeFill="accent3" w:themeFillShade="BF"/>
          </w:tcPr>
          <w:p w14:paraId="41F4761B" w14:textId="77777777" w:rsidR="005554C7" w:rsidRPr="00A15CB9" w:rsidRDefault="005554C7" w:rsidP="005554C7">
            <w:pPr>
              <w:jc w:val="center"/>
              <w:rPr>
                <w:b/>
                <w:color w:val="FFFFFF" w:themeColor="background1"/>
              </w:rPr>
            </w:pPr>
            <w:r>
              <w:rPr>
                <w:b/>
                <w:color w:val="FFFFFF" w:themeColor="background1"/>
              </w:rPr>
              <w:t>Response</w:t>
            </w:r>
          </w:p>
        </w:tc>
      </w:tr>
      <w:tr w:rsidR="005554C7" w:rsidRPr="00A15CB9" w14:paraId="20AE0882" w14:textId="77777777" w:rsidTr="00072CC7">
        <w:tc>
          <w:tcPr>
            <w:tcW w:w="14175" w:type="dxa"/>
            <w:gridSpan w:val="4"/>
            <w:tcBorders>
              <w:bottom w:val="single" w:sz="4" w:space="0" w:color="000000"/>
            </w:tcBorders>
            <w:shd w:val="clear" w:color="auto" w:fill="EAF1DD" w:themeFill="accent3" w:themeFillTint="33"/>
          </w:tcPr>
          <w:p w14:paraId="40192BB1" w14:textId="77777777" w:rsidR="005554C7" w:rsidRPr="000B462A" w:rsidRDefault="005554C7" w:rsidP="005554C7">
            <w:pPr>
              <w:spacing w:before="60" w:after="60"/>
              <w:jc w:val="center"/>
              <w:rPr>
                <w:b/>
                <w:sz w:val="20"/>
                <w:szCs w:val="20"/>
              </w:rPr>
            </w:pPr>
            <w:r w:rsidRPr="000B462A">
              <w:rPr>
                <w:b/>
                <w:sz w:val="20"/>
                <w:szCs w:val="20"/>
              </w:rPr>
              <w:t>Regulatory Option 1 – Status quo</w:t>
            </w:r>
          </w:p>
        </w:tc>
      </w:tr>
      <w:tr w:rsidR="005554C7" w:rsidRPr="00A15CB9" w14:paraId="5C0D2879" w14:textId="77777777" w:rsidTr="00072CC7">
        <w:tc>
          <w:tcPr>
            <w:tcW w:w="14175" w:type="dxa"/>
            <w:gridSpan w:val="4"/>
            <w:shd w:val="clear" w:color="auto" w:fill="EAF1DD" w:themeFill="accent3" w:themeFillTint="33"/>
          </w:tcPr>
          <w:p w14:paraId="4F892995" w14:textId="77777777" w:rsidR="005554C7" w:rsidRPr="00A15CB9" w:rsidRDefault="005554C7" w:rsidP="000B462A">
            <w:pPr>
              <w:spacing w:before="60" w:after="60"/>
              <w:rPr>
                <w:rFonts w:cs="Arial"/>
                <w:b/>
                <w:iCs/>
                <w:sz w:val="20"/>
                <w:szCs w:val="20"/>
                <w:lang w:eastAsia="en-GB" w:bidi="ar-SA"/>
              </w:rPr>
            </w:pPr>
            <w:r w:rsidRPr="00A15CB9">
              <w:rPr>
                <w:rFonts w:cs="Arial"/>
                <w:b/>
                <w:iCs/>
                <w:sz w:val="20"/>
                <w:szCs w:val="20"/>
                <w:lang w:eastAsia="en-GB" w:bidi="ar-SA"/>
              </w:rPr>
              <w:t>CFS Question: Can you identify any problems with the status quo in addition to those highlighted in this report? If so, please provide details.</w:t>
            </w:r>
          </w:p>
        </w:tc>
      </w:tr>
      <w:tr w:rsidR="005554C7" w:rsidRPr="00A15CB9" w14:paraId="04D24352" w14:textId="77777777" w:rsidTr="00072CC7">
        <w:tc>
          <w:tcPr>
            <w:tcW w:w="2189" w:type="dxa"/>
            <w:shd w:val="clear" w:color="auto" w:fill="auto"/>
          </w:tcPr>
          <w:p w14:paraId="7FD680A5" w14:textId="77777777" w:rsidR="005554C7" w:rsidRPr="00A15CB9" w:rsidRDefault="005554C7" w:rsidP="005554C7">
            <w:pPr>
              <w:rPr>
                <w:rFonts w:cs="Arial"/>
                <w:iCs/>
                <w:sz w:val="20"/>
                <w:szCs w:val="20"/>
                <w:lang w:eastAsia="en-GB" w:bidi="ar-SA"/>
              </w:rPr>
            </w:pPr>
            <w:r w:rsidRPr="00A15CB9">
              <w:rPr>
                <w:rFonts w:cs="Arial"/>
                <w:iCs/>
                <w:sz w:val="20"/>
                <w:szCs w:val="20"/>
                <w:lang w:eastAsia="en-GB" w:bidi="ar-SA"/>
              </w:rPr>
              <w:t>Ambiguity</w:t>
            </w:r>
          </w:p>
        </w:tc>
        <w:tc>
          <w:tcPr>
            <w:tcW w:w="1202" w:type="dxa"/>
            <w:shd w:val="clear" w:color="auto" w:fill="auto"/>
          </w:tcPr>
          <w:p w14:paraId="63124036" w14:textId="77777777" w:rsidR="005554C7" w:rsidRPr="00A15CB9" w:rsidRDefault="005554C7" w:rsidP="005554C7">
            <w:pPr>
              <w:rPr>
                <w:rFonts w:cs="Arial"/>
                <w:sz w:val="20"/>
                <w:szCs w:val="20"/>
              </w:rPr>
            </w:pPr>
            <w:r w:rsidRPr="00A15CB9">
              <w:rPr>
                <w:rFonts w:cs="Arial"/>
                <w:sz w:val="20"/>
                <w:szCs w:val="20"/>
              </w:rPr>
              <w:t>Aspen, Comvita,</w:t>
            </w:r>
          </w:p>
          <w:p w14:paraId="4E3644A3" w14:textId="77777777" w:rsidR="005554C7" w:rsidRPr="00A15CB9" w:rsidRDefault="005554C7" w:rsidP="005554C7">
            <w:pPr>
              <w:rPr>
                <w:rFonts w:cs="Arial"/>
                <w:sz w:val="20"/>
                <w:szCs w:val="20"/>
              </w:rPr>
            </w:pPr>
            <w:r w:rsidRPr="00A15CB9">
              <w:rPr>
                <w:rFonts w:cs="Arial"/>
                <w:sz w:val="20"/>
                <w:szCs w:val="20"/>
              </w:rPr>
              <w:t>Dairy, DN, Fonterra, Frucor, INC</w:t>
            </w:r>
          </w:p>
        </w:tc>
        <w:tc>
          <w:tcPr>
            <w:tcW w:w="7954" w:type="dxa"/>
            <w:shd w:val="clear" w:color="auto" w:fill="auto"/>
          </w:tcPr>
          <w:p w14:paraId="12F40612" w14:textId="23BD644F" w:rsidR="005554C7" w:rsidRDefault="005554C7" w:rsidP="005554C7">
            <w:pPr>
              <w:widowControl/>
              <w:autoSpaceDE w:val="0"/>
              <w:autoSpaceDN w:val="0"/>
              <w:adjustRightInd w:val="0"/>
              <w:rPr>
                <w:sz w:val="20"/>
                <w:szCs w:val="20"/>
              </w:rPr>
            </w:pPr>
            <w:r w:rsidRPr="00A15CB9">
              <w:rPr>
                <w:sz w:val="20"/>
                <w:szCs w:val="20"/>
              </w:rPr>
              <w:t xml:space="preserve">The current provisions are ambiguous for both enforcement agencies and industry. </w:t>
            </w:r>
          </w:p>
          <w:p w14:paraId="33BDF840" w14:textId="77777777" w:rsidR="00844B97" w:rsidRPr="00A15CB9" w:rsidRDefault="00844B97" w:rsidP="005554C7">
            <w:pPr>
              <w:widowControl/>
              <w:autoSpaceDE w:val="0"/>
              <w:autoSpaceDN w:val="0"/>
              <w:adjustRightInd w:val="0"/>
              <w:rPr>
                <w:sz w:val="20"/>
                <w:szCs w:val="20"/>
              </w:rPr>
            </w:pPr>
          </w:p>
          <w:p w14:paraId="3699A6BF" w14:textId="77777777" w:rsidR="005554C7" w:rsidRPr="00A15CB9" w:rsidRDefault="005554C7" w:rsidP="00844B97">
            <w:pPr>
              <w:widowControl/>
              <w:numPr>
                <w:ilvl w:val="0"/>
                <w:numId w:val="7"/>
              </w:numPr>
              <w:autoSpaceDE w:val="0"/>
              <w:autoSpaceDN w:val="0"/>
              <w:adjustRightInd w:val="0"/>
              <w:ind w:left="284" w:hanging="284"/>
              <w:rPr>
                <w:rFonts w:eastAsiaTheme="minorHAnsi" w:cstheme="minorBidi"/>
                <w:sz w:val="20"/>
                <w:szCs w:val="20"/>
                <w:lang w:bidi="ar-SA"/>
              </w:rPr>
            </w:pPr>
            <w:r w:rsidRPr="00A15CB9">
              <w:rPr>
                <w:rFonts w:eastAsiaTheme="minorHAnsi" w:cstheme="minorBidi"/>
                <w:sz w:val="20"/>
                <w:szCs w:val="20"/>
                <w:lang w:bidi="ar-SA"/>
              </w:rPr>
              <w:t xml:space="preserve">This makes it difficult to determine if a food is clearly novel and requires an application to allow its use in food (Dairy, DN, Fonterra, INC). </w:t>
            </w:r>
          </w:p>
          <w:p w14:paraId="3F9ECECB" w14:textId="77777777" w:rsidR="005554C7" w:rsidRPr="00A15CB9" w:rsidRDefault="005554C7" w:rsidP="00844B97">
            <w:pPr>
              <w:widowControl/>
              <w:numPr>
                <w:ilvl w:val="0"/>
                <w:numId w:val="7"/>
              </w:numPr>
              <w:autoSpaceDE w:val="0"/>
              <w:autoSpaceDN w:val="0"/>
              <w:adjustRightInd w:val="0"/>
              <w:ind w:left="284" w:hanging="284"/>
              <w:rPr>
                <w:rFonts w:eastAsiaTheme="minorHAnsi" w:cstheme="minorBidi"/>
                <w:sz w:val="20"/>
                <w:szCs w:val="20"/>
                <w:lang w:bidi="ar-SA"/>
              </w:rPr>
            </w:pPr>
            <w:r w:rsidRPr="00A15CB9">
              <w:rPr>
                <w:rFonts w:eastAsiaTheme="minorHAnsi" w:cstheme="minorBidi"/>
                <w:sz w:val="20"/>
                <w:szCs w:val="20"/>
                <w:lang w:bidi="ar-SA"/>
              </w:rPr>
              <w:t>The ambiguity allows for unintended freedom to explore new ingredients without boundaries or consideration for efficacy or safety (Frucor).</w:t>
            </w:r>
          </w:p>
          <w:p w14:paraId="4A7020AE" w14:textId="77777777" w:rsidR="005554C7" w:rsidRPr="00A15CB9" w:rsidRDefault="005554C7" w:rsidP="00844B97">
            <w:pPr>
              <w:widowControl/>
              <w:numPr>
                <w:ilvl w:val="0"/>
                <w:numId w:val="7"/>
              </w:numPr>
              <w:autoSpaceDE w:val="0"/>
              <w:autoSpaceDN w:val="0"/>
              <w:adjustRightInd w:val="0"/>
              <w:ind w:left="284" w:hanging="284"/>
              <w:rPr>
                <w:rFonts w:eastAsiaTheme="minorHAnsi" w:cstheme="minorBidi"/>
                <w:sz w:val="20"/>
                <w:szCs w:val="20"/>
                <w:lang w:bidi="ar-SA"/>
              </w:rPr>
            </w:pPr>
            <w:r w:rsidRPr="00A15CB9">
              <w:rPr>
                <w:rFonts w:eastAsiaTheme="minorHAnsi" w:cstheme="minorBidi"/>
                <w:sz w:val="20"/>
                <w:szCs w:val="20"/>
                <w:lang w:bidi="ar-SA"/>
              </w:rPr>
              <w:t>Global companies find that the lack of clarity in the current provisions causes costs of duplication, leading to costs of time and money. This has the potential to lead to World Trade Organization issues (DN).</w:t>
            </w:r>
          </w:p>
          <w:p w14:paraId="558FEE52" w14:textId="77777777" w:rsidR="005554C7" w:rsidRDefault="005554C7" w:rsidP="00844B97">
            <w:pPr>
              <w:widowControl/>
              <w:numPr>
                <w:ilvl w:val="0"/>
                <w:numId w:val="7"/>
              </w:numPr>
              <w:autoSpaceDE w:val="0"/>
              <w:autoSpaceDN w:val="0"/>
              <w:adjustRightInd w:val="0"/>
              <w:ind w:left="284" w:hanging="284"/>
              <w:rPr>
                <w:rFonts w:eastAsiaTheme="minorHAnsi" w:cstheme="minorBidi"/>
                <w:sz w:val="20"/>
                <w:szCs w:val="20"/>
                <w:lang w:bidi="ar-SA"/>
              </w:rPr>
            </w:pPr>
            <w:r w:rsidRPr="00A15CB9">
              <w:rPr>
                <w:rFonts w:eastAsiaTheme="minorHAnsi" w:cstheme="minorBidi"/>
                <w:sz w:val="20"/>
                <w:szCs w:val="20"/>
                <w:lang w:bidi="ar-SA"/>
              </w:rPr>
              <w:t xml:space="preserve">The current provisions may impose a risk to public health and safety due to ambiguity (Aspen). </w:t>
            </w:r>
          </w:p>
          <w:p w14:paraId="4AA2925F" w14:textId="65CBC6A1" w:rsidR="00844B97" w:rsidRPr="00A15CB9" w:rsidRDefault="00844B97" w:rsidP="00844B97">
            <w:pPr>
              <w:widowControl/>
              <w:autoSpaceDE w:val="0"/>
              <w:autoSpaceDN w:val="0"/>
              <w:adjustRightInd w:val="0"/>
              <w:ind w:left="284"/>
              <w:rPr>
                <w:rFonts w:eastAsiaTheme="minorHAnsi" w:cstheme="minorBidi"/>
                <w:sz w:val="20"/>
                <w:szCs w:val="20"/>
                <w:lang w:bidi="ar-SA"/>
              </w:rPr>
            </w:pPr>
          </w:p>
        </w:tc>
        <w:tc>
          <w:tcPr>
            <w:tcW w:w="2830" w:type="dxa"/>
          </w:tcPr>
          <w:p w14:paraId="59D61436" w14:textId="3A781332" w:rsidR="005554C7" w:rsidRPr="00A15CB9" w:rsidRDefault="005554C7" w:rsidP="00302E1F">
            <w:pPr>
              <w:widowControl/>
              <w:autoSpaceDE w:val="0"/>
              <w:autoSpaceDN w:val="0"/>
              <w:adjustRightInd w:val="0"/>
              <w:rPr>
                <w:sz w:val="20"/>
                <w:szCs w:val="20"/>
              </w:rPr>
            </w:pPr>
            <w:r>
              <w:rPr>
                <w:sz w:val="20"/>
                <w:szCs w:val="20"/>
              </w:rPr>
              <w:t xml:space="preserve">Noted. FSANZ </w:t>
            </w:r>
            <w:r w:rsidR="00072CC7">
              <w:rPr>
                <w:sz w:val="20"/>
                <w:szCs w:val="20"/>
              </w:rPr>
              <w:t>seeks stakeholder</w:t>
            </w:r>
            <w:r w:rsidR="00227581">
              <w:rPr>
                <w:sz w:val="20"/>
                <w:szCs w:val="20"/>
              </w:rPr>
              <w:t xml:space="preserve"> views on a</w:t>
            </w:r>
            <w:r>
              <w:rPr>
                <w:sz w:val="20"/>
                <w:szCs w:val="20"/>
              </w:rPr>
              <w:t xml:space="preserve"> modified framework, as described in </w:t>
            </w:r>
            <w:r w:rsidRPr="00056A54">
              <w:rPr>
                <w:sz w:val="20"/>
                <w:szCs w:val="20"/>
              </w:rPr>
              <w:t>section 2.2</w:t>
            </w:r>
            <w:r w:rsidR="00056A54">
              <w:rPr>
                <w:sz w:val="20"/>
                <w:szCs w:val="20"/>
              </w:rPr>
              <w:t xml:space="preserve"> of the consultation paper</w:t>
            </w:r>
            <w:r>
              <w:rPr>
                <w:sz w:val="20"/>
                <w:szCs w:val="20"/>
              </w:rPr>
              <w:t>.</w:t>
            </w:r>
          </w:p>
        </w:tc>
      </w:tr>
      <w:tr w:rsidR="005554C7" w:rsidRPr="00A15CB9" w14:paraId="63912D3E" w14:textId="77777777" w:rsidTr="00072CC7">
        <w:trPr>
          <w:cantSplit/>
        </w:trPr>
        <w:tc>
          <w:tcPr>
            <w:tcW w:w="2189" w:type="dxa"/>
            <w:shd w:val="clear" w:color="auto" w:fill="auto"/>
          </w:tcPr>
          <w:p w14:paraId="116D6341" w14:textId="321D3F2A" w:rsidR="005554C7" w:rsidRPr="00A15CB9" w:rsidRDefault="00072CC7" w:rsidP="005554C7">
            <w:pPr>
              <w:rPr>
                <w:rFonts w:cs="Arial"/>
                <w:iCs/>
                <w:sz w:val="20"/>
                <w:szCs w:val="20"/>
                <w:lang w:eastAsia="en-GB" w:bidi="ar-SA"/>
              </w:rPr>
            </w:pPr>
            <w:r>
              <w:rPr>
                <w:rFonts w:cs="Arial"/>
                <w:sz w:val="20"/>
                <w:szCs w:val="20"/>
              </w:rPr>
              <w:t>Pre-market restrictions</w:t>
            </w:r>
          </w:p>
        </w:tc>
        <w:tc>
          <w:tcPr>
            <w:tcW w:w="1202" w:type="dxa"/>
            <w:shd w:val="clear" w:color="auto" w:fill="auto"/>
          </w:tcPr>
          <w:p w14:paraId="2C856C83" w14:textId="77777777" w:rsidR="005554C7" w:rsidRPr="00A15CB9" w:rsidRDefault="005554C7" w:rsidP="005554C7">
            <w:pPr>
              <w:rPr>
                <w:rFonts w:cs="Arial"/>
                <w:sz w:val="20"/>
                <w:szCs w:val="20"/>
              </w:rPr>
            </w:pPr>
            <w:r w:rsidRPr="00A15CB9">
              <w:rPr>
                <w:rFonts w:cs="Arial"/>
                <w:sz w:val="20"/>
                <w:szCs w:val="20"/>
              </w:rPr>
              <w:t>AFGC, Dairy</w:t>
            </w:r>
          </w:p>
        </w:tc>
        <w:tc>
          <w:tcPr>
            <w:tcW w:w="7954" w:type="dxa"/>
            <w:shd w:val="clear" w:color="auto" w:fill="auto"/>
          </w:tcPr>
          <w:p w14:paraId="15A0A466" w14:textId="77777777" w:rsidR="005554C7" w:rsidRPr="00A15CB9"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The current approach to mandatory premarket clearance is anti-innovation and unnecessarily restrictive.</w:t>
            </w:r>
          </w:p>
          <w:p w14:paraId="4ECFA97B"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0FA5B804" w14:textId="77777777" w:rsidR="005554C7" w:rsidRPr="00A15CB9" w:rsidRDefault="005554C7" w:rsidP="005554C7">
            <w:pPr>
              <w:widowControl/>
              <w:autoSpaceDE w:val="0"/>
              <w:autoSpaceDN w:val="0"/>
              <w:adjustRightInd w:val="0"/>
              <w:rPr>
                <w:rFonts w:cs="Arial"/>
                <w:sz w:val="20"/>
                <w:szCs w:val="20"/>
                <w:lang w:eastAsia="en-GB" w:bidi="ar-SA"/>
              </w:rPr>
            </w:pPr>
            <w:r>
              <w:rPr>
                <w:rFonts w:cs="Arial"/>
                <w:sz w:val="20"/>
                <w:szCs w:val="20"/>
                <w:lang w:eastAsia="en-GB" w:bidi="ar-SA"/>
              </w:rPr>
              <w:t>As above</w:t>
            </w:r>
          </w:p>
        </w:tc>
      </w:tr>
      <w:tr w:rsidR="005554C7" w:rsidRPr="00A15CB9" w14:paraId="08A654A3" w14:textId="77777777" w:rsidTr="00072CC7">
        <w:tc>
          <w:tcPr>
            <w:tcW w:w="2189" w:type="dxa"/>
            <w:shd w:val="clear" w:color="auto" w:fill="auto"/>
          </w:tcPr>
          <w:p w14:paraId="5381A1C7" w14:textId="77777777" w:rsidR="005554C7" w:rsidRPr="00A15CB9" w:rsidRDefault="005554C7" w:rsidP="005554C7">
            <w:pPr>
              <w:rPr>
                <w:rFonts w:cs="Arial"/>
                <w:iCs/>
                <w:sz w:val="20"/>
                <w:szCs w:val="20"/>
                <w:lang w:eastAsia="en-GB" w:bidi="ar-SA"/>
              </w:rPr>
            </w:pPr>
            <w:r w:rsidRPr="00A15CB9">
              <w:rPr>
                <w:rFonts w:cs="Arial"/>
                <w:sz w:val="20"/>
                <w:szCs w:val="20"/>
              </w:rPr>
              <w:lastRenderedPageBreak/>
              <w:t>Uncertainty</w:t>
            </w:r>
          </w:p>
        </w:tc>
        <w:tc>
          <w:tcPr>
            <w:tcW w:w="1202" w:type="dxa"/>
            <w:shd w:val="clear" w:color="auto" w:fill="auto"/>
          </w:tcPr>
          <w:p w14:paraId="2F282B9B" w14:textId="77777777" w:rsidR="005554C7" w:rsidRPr="00A15CB9" w:rsidRDefault="005554C7" w:rsidP="005554C7">
            <w:pPr>
              <w:rPr>
                <w:rFonts w:cs="Arial"/>
                <w:sz w:val="20"/>
                <w:szCs w:val="20"/>
              </w:rPr>
            </w:pPr>
            <w:r w:rsidRPr="00A15CB9">
              <w:rPr>
                <w:rFonts w:cs="Arial"/>
                <w:sz w:val="20"/>
                <w:szCs w:val="20"/>
              </w:rPr>
              <w:t>Aspen, ABC, GF</w:t>
            </w:r>
          </w:p>
        </w:tc>
        <w:tc>
          <w:tcPr>
            <w:tcW w:w="7954" w:type="dxa"/>
            <w:shd w:val="clear" w:color="auto" w:fill="auto"/>
          </w:tcPr>
          <w:p w14:paraId="331DAAC2" w14:textId="77777777" w:rsidR="005554C7" w:rsidRPr="00A15CB9" w:rsidRDefault="005554C7" w:rsidP="005554C7">
            <w:pPr>
              <w:widowControl/>
              <w:autoSpaceDE w:val="0"/>
              <w:autoSpaceDN w:val="0"/>
              <w:adjustRightInd w:val="0"/>
              <w:rPr>
                <w:rFonts w:cs="Arial"/>
                <w:color w:val="000000"/>
                <w:sz w:val="20"/>
                <w:szCs w:val="20"/>
                <w:lang w:eastAsia="en-GB" w:bidi="ar-SA"/>
              </w:rPr>
            </w:pPr>
            <w:r w:rsidRPr="00A15CB9">
              <w:rPr>
                <w:rFonts w:cs="Arial"/>
                <w:color w:val="000000"/>
                <w:sz w:val="20"/>
                <w:szCs w:val="20"/>
                <w:lang w:eastAsia="en-GB" w:bidi="ar-SA"/>
              </w:rPr>
              <w:t>The status quo creates uncertainty within the current Code provisions.</w:t>
            </w:r>
          </w:p>
          <w:p w14:paraId="142C98F7"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0DF4EFF5" w14:textId="77777777" w:rsidR="005554C7" w:rsidRPr="00A15CB9" w:rsidRDefault="005554C7" w:rsidP="005554C7">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As above</w:t>
            </w:r>
          </w:p>
        </w:tc>
      </w:tr>
      <w:tr w:rsidR="005554C7" w:rsidRPr="00A15CB9" w14:paraId="1AF5E8FD" w14:textId="77777777" w:rsidTr="00072CC7">
        <w:trPr>
          <w:trHeight w:val="570"/>
        </w:trPr>
        <w:tc>
          <w:tcPr>
            <w:tcW w:w="2189" w:type="dxa"/>
            <w:shd w:val="clear" w:color="auto" w:fill="auto"/>
          </w:tcPr>
          <w:p w14:paraId="7009A164" w14:textId="77777777" w:rsidR="005554C7" w:rsidRPr="00A15CB9" w:rsidRDefault="005554C7" w:rsidP="005554C7">
            <w:pPr>
              <w:rPr>
                <w:rFonts w:cs="Arial"/>
                <w:iCs/>
                <w:sz w:val="20"/>
                <w:szCs w:val="20"/>
                <w:lang w:eastAsia="en-GB" w:bidi="ar-SA"/>
              </w:rPr>
            </w:pPr>
            <w:r>
              <w:rPr>
                <w:rFonts w:cs="Arial"/>
                <w:iCs/>
                <w:sz w:val="20"/>
                <w:szCs w:val="20"/>
                <w:lang w:eastAsia="en-GB" w:bidi="ar-SA"/>
              </w:rPr>
              <w:t>Specific problems</w:t>
            </w:r>
          </w:p>
        </w:tc>
        <w:tc>
          <w:tcPr>
            <w:tcW w:w="1202" w:type="dxa"/>
            <w:shd w:val="clear" w:color="auto" w:fill="auto"/>
          </w:tcPr>
          <w:p w14:paraId="3C8171AA" w14:textId="77777777" w:rsidR="005554C7" w:rsidRPr="00A15CB9" w:rsidRDefault="005554C7" w:rsidP="005554C7">
            <w:pPr>
              <w:rPr>
                <w:rFonts w:cs="Arial"/>
                <w:sz w:val="20"/>
                <w:szCs w:val="20"/>
              </w:rPr>
            </w:pPr>
            <w:r w:rsidRPr="00A15CB9">
              <w:rPr>
                <w:rFonts w:cs="Arial"/>
                <w:sz w:val="20"/>
                <w:szCs w:val="20"/>
              </w:rPr>
              <w:t>INC, NZFGC</w:t>
            </w:r>
          </w:p>
          <w:p w14:paraId="4CF255A8" w14:textId="77777777" w:rsidR="005554C7" w:rsidRPr="00A15CB9" w:rsidRDefault="005554C7" w:rsidP="005554C7">
            <w:pPr>
              <w:rPr>
                <w:rFonts w:cs="Arial"/>
                <w:sz w:val="20"/>
                <w:szCs w:val="20"/>
              </w:rPr>
            </w:pPr>
          </w:p>
        </w:tc>
        <w:tc>
          <w:tcPr>
            <w:tcW w:w="7954" w:type="dxa"/>
            <w:shd w:val="clear" w:color="auto" w:fill="auto"/>
          </w:tcPr>
          <w:p w14:paraId="07CCF224" w14:textId="77777777" w:rsidR="005554C7" w:rsidRPr="00A15CB9" w:rsidRDefault="005554C7" w:rsidP="005554C7">
            <w:pPr>
              <w:autoSpaceDE w:val="0"/>
              <w:autoSpaceDN w:val="0"/>
              <w:adjustRightInd w:val="0"/>
              <w:rPr>
                <w:sz w:val="20"/>
                <w:szCs w:val="20"/>
              </w:rPr>
            </w:pPr>
            <w:r w:rsidRPr="00A15CB9">
              <w:rPr>
                <w:sz w:val="20"/>
                <w:szCs w:val="20"/>
              </w:rPr>
              <w:t>There is an absence of any mutual recognition of pre-market assessments conducted by reputable agencies overseas.</w:t>
            </w:r>
          </w:p>
        </w:tc>
        <w:tc>
          <w:tcPr>
            <w:tcW w:w="2830" w:type="dxa"/>
          </w:tcPr>
          <w:p w14:paraId="0726E2E6" w14:textId="7368BF2D" w:rsidR="005554C7" w:rsidRDefault="00056A54" w:rsidP="00D60E7A">
            <w:pPr>
              <w:autoSpaceDE w:val="0"/>
              <w:autoSpaceDN w:val="0"/>
              <w:adjustRightInd w:val="0"/>
              <w:rPr>
                <w:sz w:val="20"/>
                <w:szCs w:val="20"/>
              </w:rPr>
            </w:pPr>
            <w:r>
              <w:rPr>
                <w:sz w:val="20"/>
                <w:szCs w:val="20"/>
              </w:rPr>
              <w:t xml:space="preserve">FSANZ will consider this issue further (noted in section </w:t>
            </w:r>
            <w:r w:rsidR="000B6693">
              <w:rPr>
                <w:sz w:val="20"/>
                <w:szCs w:val="20"/>
              </w:rPr>
              <w:t>1.3</w:t>
            </w:r>
            <w:r>
              <w:rPr>
                <w:sz w:val="20"/>
                <w:szCs w:val="20"/>
              </w:rPr>
              <w:t xml:space="preserve"> of consultation paper).</w:t>
            </w:r>
            <w:r w:rsidR="00D60E7A">
              <w:rPr>
                <w:sz w:val="20"/>
                <w:szCs w:val="20"/>
              </w:rPr>
              <w:t xml:space="preserve"> </w:t>
            </w:r>
            <w:r w:rsidR="00D06F37">
              <w:rPr>
                <w:sz w:val="20"/>
                <w:szCs w:val="20"/>
              </w:rPr>
              <w:t xml:space="preserve">FSANZ has </w:t>
            </w:r>
            <w:r w:rsidR="007B78F5">
              <w:rPr>
                <w:sz w:val="20"/>
                <w:szCs w:val="20"/>
              </w:rPr>
              <w:t xml:space="preserve">had </w:t>
            </w:r>
            <w:r w:rsidR="00D06F37">
              <w:rPr>
                <w:sz w:val="20"/>
                <w:szCs w:val="20"/>
              </w:rPr>
              <w:t>regard to pre-market assessments undertaken by overseas agencies as part of the total weight-of-evidence for all applications and proposals</w:t>
            </w:r>
            <w:r w:rsidR="00072CC7">
              <w:rPr>
                <w:sz w:val="20"/>
                <w:szCs w:val="20"/>
              </w:rPr>
              <w:t>.</w:t>
            </w:r>
          </w:p>
          <w:p w14:paraId="5C71F5F7" w14:textId="1B9F4FC7" w:rsidR="007B78F5" w:rsidRPr="00A15CB9" w:rsidRDefault="007B78F5" w:rsidP="00D60E7A">
            <w:pPr>
              <w:autoSpaceDE w:val="0"/>
              <w:autoSpaceDN w:val="0"/>
              <w:adjustRightInd w:val="0"/>
              <w:rPr>
                <w:sz w:val="20"/>
                <w:szCs w:val="20"/>
              </w:rPr>
            </w:pPr>
          </w:p>
        </w:tc>
      </w:tr>
      <w:tr w:rsidR="005554C7" w:rsidRPr="00A15CB9" w14:paraId="4F5B964F" w14:textId="77777777" w:rsidTr="00072CC7">
        <w:tc>
          <w:tcPr>
            <w:tcW w:w="14175" w:type="dxa"/>
            <w:gridSpan w:val="4"/>
            <w:shd w:val="clear" w:color="auto" w:fill="EAF1DD" w:themeFill="accent3" w:themeFillTint="33"/>
          </w:tcPr>
          <w:p w14:paraId="66F7E6BC" w14:textId="77777777" w:rsidR="005554C7" w:rsidRPr="00A15CB9" w:rsidRDefault="005554C7" w:rsidP="005554C7">
            <w:pPr>
              <w:widowControl/>
              <w:autoSpaceDE w:val="0"/>
              <w:autoSpaceDN w:val="0"/>
              <w:adjustRightInd w:val="0"/>
              <w:spacing w:before="60" w:after="60"/>
              <w:rPr>
                <w:rFonts w:cs="Arial"/>
                <w:b/>
                <w:iCs/>
                <w:sz w:val="20"/>
                <w:szCs w:val="20"/>
                <w:lang w:eastAsia="en-GB" w:bidi="ar-SA"/>
              </w:rPr>
            </w:pPr>
            <w:r w:rsidRPr="00A15CB9">
              <w:rPr>
                <w:rFonts w:cs="Arial"/>
                <w:b/>
                <w:iCs/>
                <w:sz w:val="20"/>
                <w:szCs w:val="20"/>
                <w:lang w:eastAsia="en-GB" w:bidi="ar-SA"/>
              </w:rPr>
              <w:t>CFS Question: Do you believe there are problems with the current provisions more broadly (not just the definitions) in addition to those outlined in assessment summary? If so, describe the problems.</w:t>
            </w:r>
          </w:p>
        </w:tc>
      </w:tr>
      <w:tr w:rsidR="005554C7" w:rsidRPr="00A15CB9" w14:paraId="4CF2C888" w14:textId="77777777" w:rsidTr="00072CC7">
        <w:tc>
          <w:tcPr>
            <w:tcW w:w="2189" w:type="dxa"/>
            <w:shd w:val="clear" w:color="auto" w:fill="auto"/>
          </w:tcPr>
          <w:p w14:paraId="07A230A4"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 xml:space="preserve">Alternatives are needed to a definitions-based set of provisions </w:t>
            </w:r>
          </w:p>
        </w:tc>
        <w:tc>
          <w:tcPr>
            <w:tcW w:w="1202" w:type="dxa"/>
            <w:shd w:val="clear" w:color="auto" w:fill="auto"/>
          </w:tcPr>
          <w:p w14:paraId="7430B22E" w14:textId="77777777" w:rsidR="005554C7" w:rsidRPr="00A15CB9" w:rsidRDefault="005554C7" w:rsidP="005554C7">
            <w:pPr>
              <w:rPr>
                <w:rFonts w:cs="Arial"/>
                <w:sz w:val="20"/>
                <w:szCs w:val="20"/>
              </w:rPr>
            </w:pPr>
            <w:r w:rsidRPr="00A15CB9">
              <w:rPr>
                <w:rFonts w:cs="Arial"/>
                <w:sz w:val="20"/>
                <w:szCs w:val="20"/>
              </w:rPr>
              <w:t>ABC, AFGC, DN, NZFGC, Vic Govt</w:t>
            </w:r>
          </w:p>
        </w:tc>
        <w:tc>
          <w:tcPr>
            <w:tcW w:w="7954" w:type="dxa"/>
            <w:shd w:val="clear" w:color="auto" w:fill="auto"/>
          </w:tcPr>
          <w:p w14:paraId="0B308E2B" w14:textId="4C06C188" w:rsidR="005554C7"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The creation of categories of foods or substances for a particular regulatory purpose based on definitions, or undefined terms in some cases, is creating uncertainty in the marketplace.</w:t>
            </w:r>
          </w:p>
          <w:p w14:paraId="3A3B5865" w14:textId="77777777" w:rsidR="00844B97" w:rsidRPr="00A15CB9" w:rsidRDefault="00844B97" w:rsidP="005554C7">
            <w:pPr>
              <w:widowControl/>
              <w:autoSpaceDE w:val="0"/>
              <w:autoSpaceDN w:val="0"/>
              <w:adjustRightInd w:val="0"/>
              <w:rPr>
                <w:rFonts w:cs="Arial"/>
                <w:sz w:val="20"/>
                <w:szCs w:val="20"/>
                <w:lang w:eastAsia="en-GB" w:bidi="ar-SA"/>
              </w:rPr>
            </w:pPr>
          </w:p>
          <w:p w14:paraId="60CABA0C" w14:textId="77777777" w:rsidR="005554C7" w:rsidRPr="00A15CB9" w:rsidRDefault="005554C7" w:rsidP="00844B97">
            <w:pPr>
              <w:widowControl/>
              <w:numPr>
                <w:ilvl w:val="0"/>
                <w:numId w:val="8"/>
              </w:numPr>
              <w:autoSpaceDE w:val="0"/>
              <w:autoSpaceDN w:val="0"/>
              <w:adjustRightInd w:val="0"/>
              <w:ind w:left="284" w:hanging="284"/>
              <w:rPr>
                <w:rFonts w:eastAsiaTheme="minorHAnsi" w:cs="Arial"/>
                <w:sz w:val="20"/>
                <w:szCs w:val="20"/>
                <w:lang w:eastAsia="en-GB" w:bidi="ar-SA"/>
              </w:rPr>
            </w:pPr>
            <w:r w:rsidRPr="00A15CB9">
              <w:rPr>
                <w:rFonts w:eastAsiaTheme="minorHAnsi" w:cs="Arial"/>
                <w:color w:val="000000"/>
                <w:sz w:val="20"/>
                <w:szCs w:val="20"/>
                <w:lang w:eastAsia="en-GB" w:bidi="ar-SA"/>
              </w:rPr>
              <w:t>The uncertainty relates to whether particular foods require permission in the Code before they can be sold in Australia and New Zealand; and therefore whether the foods should be subject to pre-market assessment by FSANZ (ABC, AFGC).</w:t>
            </w:r>
          </w:p>
          <w:p w14:paraId="5C504190" w14:textId="77777777" w:rsidR="005554C7" w:rsidRPr="00A15CB9" w:rsidRDefault="005554C7" w:rsidP="00844B97">
            <w:pPr>
              <w:widowControl/>
              <w:numPr>
                <w:ilvl w:val="0"/>
                <w:numId w:val="8"/>
              </w:numPr>
              <w:autoSpaceDE w:val="0"/>
              <w:autoSpaceDN w:val="0"/>
              <w:adjustRightInd w:val="0"/>
              <w:ind w:left="284" w:hanging="284"/>
              <w:rPr>
                <w:rFonts w:eastAsiaTheme="minorHAnsi" w:cs="Arial"/>
                <w:sz w:val="20"/>
                <w:szCs w:val="20"/>
                <w:lang w:eastAsia="en-GB" w:bidi="ar-SA"/>
              </w:rPr>
            </w:pPr>
            <w:r w:rsidRPr="00A15CB9">
              <w:rPr>
                <w:rFonts w:eastAsiaTheme="minorHAnsi" w:cs="Arial"/>
                <w:sz w:val="20"/>
                <w:szCs w:val="20"/>
                <w:lang w:eastAsia="en-GB" w:bidi="ar-SA"/>
              </w:rPr>
              <w:t>A broader approach to determining whether or not a product should undergo a pre-market risk assessment is required (Vic Govt).</w:t>
            </w:r>
          </w:p>
          <w:p w14:paraId="0DF01E09" w14:textId="77777777" w:rsidR="005554C7" w:rsidRPr="00A15CB9" w:rsidRDefault="005554C7" w:rsidP="00844B97">
            <w:pPr>
              <w:widowControl/>
              <w:numPr>
                <w:ilvl w:val="0"/>
                <w:numId w:val="8"/>
              </w:numPr>
              <w:autoSpaceDE w:val="0"/>
              <w:autoSpaceDN w:val="0"/>
              <w:adjustRightInd w:val="0"/>
              <w:ind w:left="284" w:hanging="284"/>
              <w:rPr>
                <w:rFonts w:eastAsiaTheme="minorHAnsi" w:cs="Arial"/>
                <w:sz w:val="20"/>
                <w:szCs w:val="20"/>
                <w:lang w:eastAsia="en-GB" w:bidi="ar-SA"/>
              </w:rPr>
            </w:pPr>
            <w:r w:rsidRPr="00A15CB9">
              <w:rPr>
                <w:rFonts w:eastAsiaTheme="minorHAnsi" w:cstheme="minorBidi"/>
                <w:sz w:val="20"/>
                <w:szCs w:val="20"/>
                <w:lang w:bidi="ar-SA"/>
              </w:rPr>
              <w:t>There is a level of overlap of definitions that make sections of the Code unworkable (DN, NZFGC).</w:t>
            </w:r>
          </w:p>
          <w:p w14:paraId="4FBD0840" w14:textId="77777777" w:rsidR="005554C7" w:rsidRPr="00A15CB9" w:rsidRDefault="005554C7" w:rsidP="005554C7">
            <w:pPr>
              <w:widowControl/>
              <w:autoSpaceDE w:val="0"/>
              <w:autoSpaceDN w:val="0"/>
              <w:adjustRightInd w:val="0"/>
              <w:ind w:left="459"/>
              <w:contextualSpacing/>
              <w:rPr>
                <w:rFonts w:eastAsiaTheme="minorHAnsi" w:cs="Arial"/>
                <w:sz w:val="20"/>
                <w:szCs w:val="20"/>
                <w:lang w:eastAsia="en-GB" w:bidi="ar-SA"/>
              </w:rPr>
            </w:pPr>
          </w:p>
        </w:tc>
        <w:tc>
          <w:tcPr>
            <w:tcW w:w="2830" w:type="dxa"/>
          </w:tcPr>
          <w:p w14:paraId="21F255F2" w14:textId="7F087952" w:rsidR="005554C7" w:rsidRDefault="00072CC7" w:rsidP="005554C7">
            <w:pPr>
              <w:widowControl/>
              <w:autoSpaceDE w:val="0"/>
              <w:autoSpaceDN w:val="0"/>
              <w:adjustRightInd w:val="0"/>
              <w:rPr>
                <w:rFonts w:cs="Arial"/>
                <w:sz w:val="20"/>
                <w:szCs w:val="20"/>
                <w:lang w:eastAsia="en-GB" w:bidi="ar-SA"/>
              </w:rPr>
            </w:pPr>
            <w:r>
              <w:rPr>
                <w:rFonts w:cs="Arial"/>
                <w:sz w:val="20"/>
                <w:szCs w:val="20"/>
                <w:lang w:eastAsia="en-GB" w:bidi="ar-SA"/>
              </w:rPr>
              <w:t>Noted</w:t>
            </w:r>
            <w:r w:rsidR="00227581">
              <w:rPr>
                <w:rFonts w:cs="Arial"/>
                <w:sz w:val="20"/>
                <w:szCs w:val="20"/>
                <w:lang w:eastAsia="en-GB" w:bidi="ar-SA"/>
              </w:rPr>
              <w:t>. See responses above</w:t>
            </w:r>
            <w:r w:rsidR="005554C7">
              <w:rPr>
                <w:rFonts w:cs="Arial"/>
                <w:sz w:val="20"/>
                <w:szCs w:val="20"/>
                <w:lang w:eastAsia="en-GB" w:bidi="ar-SA"/>
              </w:rPr>
              <w:t>.</w:t>
            </w:r>
          </w:p>
          <w:p w14:paraId="68D7DE75" w14:textId="77777777" w:rsidR="005554C7" w:rsidRDefault="005554C7" w:rsidP="005554C7">
            <w:pPr>
              <w:widowControl/>
              <w:autoSpaceDE w:val="0"/>
              <w:autoSpaceDN w:val="0"/>
              <w:adjustRightInd w:val="0"/>
              <w:rPr>
                <w:rFonts w:cs="Arial"/>
                <w:sz w:val="20"/>
                <w:szCs w:val="20"/>
                <w:lang w:eastAsia="en-GB" w:bidi="ar-SA"/>
              </w:rPr>
            </w:pPr>
          </w:p>
          <w:p w14:paraId="28D8D39D" w14:textId="77777777" w:rsidR="005554C7" w:rsidRDefault="005554C7" w:rsidP="007B78F5">
            <w:pPr>
              <w:widowControl/>
              <w:autoSpaceDE w:val="0"/>
              <w:autoSpaceDN w:val="0"/>
              <w:adjustRightInd w:val="0"/>
              <w:rPr>
                <w:rFonts w:cs="Arial"/>
                <w:sz w:val="20"/>
                <w:szCs w:val="20"/>
                <w:lang w:eastAsia="en-GB" w:bidi="ar-SA"/>
              </w:rPr>
            </w:pPr>
            <w:r>
              <w:rPr>
                <w:rFonts w:cs="Arial"/>
                <w:sz w:val="20"/>
                <w:szCs w:val="20"/>
                <w:lang w:eastAsia="en-GB" w:bidi="ar-SA"/>
              </w:rPr>
              <w:t xml:space="preserve">FSANZ notes the comments on adopting a broader approach (e.g. for foods sold for technological purposes such as food additives) but considers this would broaden the </w:t>
            </w:r>
            <w:r w:rsidR="00056A54">
              <w:rPr>
                <w:rFonts w:cs="Arial"/>
                <w:sz w:val="20"/>
                <w:szCs w:val="20"/>
                <w:lang w:eastAsia="en-GB" w:bidi="ar-SA"/>
              </w:rPr>
              <w:t>scope of</w:t>
            </w:r>
            <w:r w:rsidR="007B78F5">
              <w:rPr>
                <w:rFonts w:cs="Arial"/>
                <w:sz w:val="20"/>
                <w:szCs w:val="20"/>
                <w:lang w:eastAsia="en-GB" w:bidi="ar-SA"/>
              </w:rPr>
              <w:t xml:space="preserve"> P0124 </w:t>
            </w:r>
            <w:r w:rsidR="00056A54">
              <w:rPr>
                <w:rFonts w:cs="Arial"/>
                <w:sz w:val="20"/>
                <w:szCs w:val="20"/>
                <w:lang w:eastAsia="en-GB" w:bidi="ar-SA"/>
              </w:rPr>
              <w:t xml:space="preserve">considerably, which may delay making amendments to address the nutritive substance and novel food issues. </w:t>
            </w:r>
          </w:p>
          <w:p w14:paraId="3C7E1B86" w14:textId="747E358A" w:rsidR="00844B97" w:rsidRPr="00A15CB9" w:rsidRDefault="00844B97" w:rsidP="007B78F5">
            <w:pPr>
              <w:widowControl/>
              <w:autoSpaceDE w:val="0"/>
              <w:autoSpaceDN w:val="0"/>
              <w:adjustRightInd w:val="0"/>
              <w:rPr>
                <w:rFonts w:cs="Arial"/>
                <w:sz w:val="20"/>
                <w:szCs w:val="20"/>
                <w:lang w:eastAsia="en-GB" w:bidi="ar-SA"/>
              </w:rPr>
            </w:pPr>
          </w:p>
        </w:tc>
      </w:tr>
      <w:tr w:rsidR="005554C7" w:rsidRPr="00A15CB9" w14:paraId="0886F0F1" w14:textId="77777777" w:rsidTr="00072CC7">
        <w:tc>
          <w:tcPr>
            <w:tcW w:w="2189" w:type="dxa"/>
            <w:shd w:val="clear" w:color="auto" w:fill="auto"/>
          </w:tcPr>
          <w:p w14:paraId="1903F5FB" w14:textId="77777777" w:rsidR="005554C7" w:rsidRPr="00A15CB9" w:rsidRDefault="005554C7" w:rsidP="00844B97">
            <w:pPr>
              <w:pageBreakBefore/>
              <w:rPr>
                <w:rFonts w:cs="Arial"/>
                <w:sz w:val="20"/>
                <w:szCs w:val="20"/>
                <w:lang w:eastAsia="en-AU" w:bidi="ar-SA"/>
              </w:rPr>
            </w:pPr>
            <w:r w:rsidRPr="00A15CB9">
              <w:rPr>
                <w:rFonts w:cs="Arial"/>
                <w:sz w:val="20"/>
                <w:szCs w:val="20"/>
                <w:lang w:eastAsia="en-AU" w:bidi="ar-SA"/>
              </w:rPr>
              <w:lastRenderedPageBreak/>
              <w:t>Application process</w:t>
            </w:r>
          </w:p>
        </w:tc>
        <w:tc>
          <w:tcPr>
            <w:tcW w:w="1202" w:type="dxa"/>
            <w:shd w:val="clear" w:color="auto" w:fill="auto"/>
          </w:tcPr>
          <w:p w14:paraId="4800593A" w14:textId="77777777" w:rsidR="005554C7" w:rsidRPr="00A15CB9" w:rsidRDefault="005554C7" w:rsidP="005554C7">
            <w:pPr>
              <w:rPr>
                <w:rFonts w:cs="Arial"/>
                <w:sz w:val="20"/>
                <w:szCs w:val="20"/>
              </w:rPr>
            </w:pPr>
            <w:r w:rsidRPr="00A15CB9">
              <w:rPr>
                <w:rFonts w:cs="Arial"/>
                <w:sz w:val="20"/>
                <w:szCs w:val="20"/>
              </w:rPr>
              <w:t>ABC, Nestlé</w:t>
            </w:r>
          </w:p>
        </w:tc>
        <w:tc>
          <w:tcPr>
            <w:tcW w:w="7954" w:type="dxa"/>
            <w:shd w:val="clear" w:color="auto" w:fill="auto"/>
          </w:tcPr>
          <w:p w14:paraId="506BE501" w14:textId="77777777" w:rsidR="005554C7" w:rsidRPr="00A15CB9" w:rsidRDefault="005554C7" w:rsidP="005554C7">
            <w:pPr>
              <w:widowControl/>
              <w:autoSpaceDE w:val="0"/>
              <w:autoSpaceDN w:val="0"/>
              <w:adjustRightInd w:val="0"/>
              <w:rPr>
                <w:sz w:val="20"/>
                <w:szCs w:val="20"/>
              </w:rPr>
            </w:pPr>
            <w:r w:rsidRPr="00A15CB9">
              <w:rPr>
                <w:sz w:val="20"/>
                <w:szCs w:val="20"/>
              </w:rPr>
              <w:t>The current ‘application only’ process is onerous and costly, especially if the company elects to proceed with a paid application. The existing Standard does not encourage innovation and can have a negative impact upon investment decisions.</w:t>
            </w:r>
          </w:p>
          <w:p w14:paraId="563D3685"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431CB24E" w14:textId="77777777" w:rsidR="00302E1F" w:rsidRDefault="00302E1F" w:rsidP="00302E1F">
            <w:pPr>
              <w:widowControl/>
              <w:autoSpaceDE w:val="0"/>
              <w:autoSpaceDN w:val="0"/>
              <w:adjustRightInd w:val="0"/>
              <w:rPr>
                <w:sz w:val="20"/>
                <w:szCs w:val="20"/>
              </w:rPr>
            </w:pPr>
            <w:r>
              <w:rPr>
                <w:sz w:val="20"/>
                <w:szCs w:val="20"/>
              </w:rPr>
              <w:t xml:space="preserve">Noted as support of Option 3. </w:t>
            </w:r>
          </w:p>
          <w:p w14:paraId="55707D41" w14:textId="487B49A5" w:rsidR="00302E1F" w:rsidRDefault="00F65CC9" w:rsidP="00393EFE">
            <w:pPr>
              <w:keepNext/>
              <w:keepLines/>
              <w:widowControl/>
              <w:autoSpaceDE w:val="0"/>
              <w:autoSpaceDN w:val="0"/>
              <w:adjustRightInd w:val="0"/>
              <w:spacing w:before="240" w:after="240"/>
              <w:outlineLvl w:val="1"/>
              <w:rPr>
                <w:rFonts w:cs="Arial"/>
                <w:b/>
                <w:kern w:val="32"/>
                <w:sz w:val="20"/>
                <w:szCs w:val="20"/>
              </w:rPr>
            </w:pPr>
            <w:r w:rsidRPr="00F65CC9">
              <w:rPr>
                <w:sz w:val="20"/>
                <w:szCs w:val="20"/>
              </w:rPr>
              <w:t>FSANZ notes the application</w:t>
            </w:r>
            <w:r w:rsidR="007B78F5">
              <w:rPr>
                <w:sz w:val="20"/>
                <w:szCs w:val="20"/>
              </w:rPr>
              <w:t xml:space="preserve"> </w:t>
            </w:r>
            <w:r w:rsidRPr="00F65CC9">
              <w:rPr>
                <w:sz w:val="20"/>
                <w:szCs w:val="20"/>
              </w:rPr>
              <w:t>only process also applies to other types of foods and substances added to foods (such as food additives, processing aids, irradiated foods, foods produced using gene technology) and is not unique to novel foods and nutritive substances. The timelines for assessment of these foods is comparable to the approval processes of other jurisdictions.</w:t>
            </w:r>
          </w:p>
          <w:p w14:paraId="2C3EB1F3" w14:textId="77777777" w:rsidR="00AD478F" w:rsidRDefault="00F778DA" w:rsidP="000B6693">
            <w:pPr>
              <w:widowControl/>
              <w:autoSpaceDE w:val="0"/>
              <w:autoSpaceDN w:val="0"/>
              <w:adjustRightInd w:val="0"/>
              <w:rPr>
                <w:sz w:val="20"/>
                <w:szCs w:val="20"/>
              </w:rPr>
            </w:pPr>
            <w:r>
              <w:rPr>
                <w:sz w:val="20"/>
                <w:szCs w:val="20"/>
              </w:rPr>
              <w:t xml:space="preserve">FSANZ </w:t>
            </w:r>
            <w:r w:rsidR="00056A54">
              <w:rPr>
                <w:sz w:val="20"/>
                <w:szCs w:val="20"/>
              </w:rPr>
              <w:t xml:space="preserve">will consider </w:t>
            </w:r>
            <w:r w:rsidR="00302E1F">
              <w:rPr>
                <w:sz w:val="20"/>
                <w:szCs w:val="20"/>
              </w:rPr>
              <w:t xml:space="preserve">possible </w:t>
            </w:r>
            <w:r w:rsidR="00056A54">
              <w:rPr>
                <w:sz w:val="20"/>
                <w:szCs w:val="20"/>
              </w:rPr>
              <w:t>measures</w:t>
            </w:r>
            <w:r>
              <w:rPr>
                <w:sz w:val="20"/>
                <w:szCs w:val="20"/>
              </w:rPr>
              <w:t xml:space="preserve"> to streamline the FSANZ assessment process </w:t>
            </w:r>
            <w:r w:rsidR="00F65CC9">
              <w:rPr>
                <w:sz w:val="20"/>
                <w:szCs w:val="20"/>
              </w:rPr>
              <w:t xml:space="preserve">for new foods </w:t>
            </w:r>
            <w:r>
              <w:rPr>
                <w:sz w:val="20"/>
                <w:szCs w:val="20"/>
              </w:rPr>
              <w:t>(section 2.2.</w:t>
            </w:r>
            <w:r w:rsidR="000B6693">
              <w:rPr>
                <w:sz w:val="20"/>
                <w:szCs w:val="20"/>
              </w:rPr>
              <w:t>4</w:t>
            </w:r>
            <w:r>
              <w:rPr>
                <w:sz w:val="20"/>
                <w:szCs w:val="20"/>
              </w:rPr>
              <w:t xml:space="preserve"> of consultation paper).</w:t>
            </w:r>
          </w:p>
          <w:p w14:paraId="05618062" w14:textId="11F62D90" w:rsidR="00844B97" w:rsidRPr="00A15CB9" w:rsidRDefault="00844B97" w:rsidP="000B6693">
            <w:pPr>
              <w:widowControl/>
              <w:autoSpaceDE w:val="0"/>
              <w:autoSpaceDN w:val="0"/>
              <w:adjustRightInd w:val="0"/>
              <w:rPr>
                <w:sz w:val="20"/>
                <w:szCs w:val="20"/>
              </w:rPr>
            </w:pPr>
          </w:p>
        </w:tc>
      </w:tr>
      <w:tr w:rsidR="005554C7" w:rsidRPr="00A15CB9" w14:paraId="1E31215A" w14:textId="77777777" w:rsidTr="00072CC7">
        <w:tc>
          <w:tcPr>
            <w:tcW w:w="14175" w:type="dxa"/>
            <w:gridSpan w:val="4"/>
            <w:shd w:val="clear" w:color="auto" w:fill="EAF1DD" w:themeFill="accent3" w:themeFillTint="33"/>
          </w:tcPr>
          <w:p w14:paraId="3BD61003" w14:textId="77777777" w:rsidR="005554C7" w:rsidRPr="00A15CB9" w:rsidRDefault="005554C7" w:rsidP="000B462A">
            <w:pPr>
              <w:spacing w:before="60" w:after="60"/>
              <w:jc w:val="center"/>
              <w:rPr>
                <w:rFonts w:cs="Arial"/>
                <w:b/>
                <w:sz w:val="20"/>
                <w:szCs w:val="20"/>
                <w:lang w:eastAsia="en-AU" w:bidi="ar-SA"/>
              </w:rPr>
            </w:pPr>
            <w:r w:rsidRPr="00A15CB9">
              <w:rPr>
                <w:rFonts w:cs="Arial"/>
                <w:b/>
                <w:sz w:val="20"/>
                <w:szCs w:val="20"/>
                <w:lang w:eastAsia="en-AU" w:bidi="ar-SA"/>
              </w:rPr>
              <w:t>Regulatory Option 2</w:t>
            </w:r>
            <w:r>
              <w:rPr>
                <w:rFonts w:cs="Arial"/>
                <w:b/>
                <w:sz w:val="20"/>
                <w:szCs w:val="20"/>
                <w:lang w:eastAsia="en-AU" w:bidi="ar-SA"/>
              </w:rPr>
              <w:t xml:space="preserve"> – amended definitions</w:t>
            </w:r>
          </w:p>
        </w:tc>
      </w:tr>
      <w:tr w:rsidR="005554C7" w:rsidRPr="00A15CB9" w14:paraId="60CE2998" w14:textId="77777777" w:rsidTr="00072CC7">
        <w:tc>
          <w:tcPr>
            <w:tcW w:w="2189" w:type="dxa"/>
            <w:vMerge w:val="restart"/>
            <w:shd w:val="clear" w:color="auto" w:fill="auto"/>
          </w:tcPr>
          <w:p w14:paraId="5DD94080" w14:textId="305787D4" w:rsidR="005554C7" w:rsidRPr="00A15CB9" w:rsidRDefault="00393EFE" w:rsidP="005554C7">
            <w:pPr>
              <w:rPr>
                <w:rFonts w:cs="Arial"/>
                <w:sz w:val="20"/>
                <w:szCs w:val="20"/>
                <w:lang w:eastAsia="en-AU" w:bidi="ar-SA"/>
              </w:rPr>
            </w:pPr>
            <w:r>
              <w:rPr>
                <w:rFonts w:cs="Arial"/>
                <w:sz w:val="20"/>
                <w:szCs w:val="20"/>
                <w:lang w:eastAsia="en-AU" w:bidi="ar-SA"/>
              </w:rPr>
              <w:t>Problems with Option </w:t>
            </w:r>
            <w:r w:rsidR="005554C7" w:rsidRPr="00A15CB9">
              <w:rPr>
                <w:rFonts w:cs="Arial"/>
                <w:sz w:val="20"/>
                <w:szCs w:val="20"/>
                <w:lang w:eastAsia="en-AU" w:bidi="ar-SA"/>
              </w:rPr>
              <w:t>2</w:t>
            </w:r>
          </w:p>
          <w:p w14:paraId="728C614A" w14:textId="77777777" w:rsidR="005554C7" w:rsidRPr="00A15CB9" w:rsidRDefault="005554C7" w:rsidP="005554C7">
            <w:pPr>
              <w:rPr>
                <w:rFonts w:cs="Arial"/>
                <w:sz w:val="20"/>
                <w:szCs w:val="20"/>
                <w:lang w:eastAsia="en-AU" w:bidi="ar-SA"/>
              </w:rPr>
            </w:pPr>
          </w:p>
        </w:tc>
        <w:tc>
          <w:tcPr>
            <w:tcW w:w="1202" w:type="dxa"/>
            <w:shd w:val="clear" w:color="auto" w:fill="auto"/>
          </w:tcPr>
          <w:p w14:paraId="0E7D3837" w14:textId="77777777" w:rsidR="005554C7" w:rsidRPr="00A15CB9" w:rsidRDefault="005554C7" w:rsidP="005554C7">
            <w:pPr>
              <w:rPr>
                <w:rFonts w:cs="Arial"/>
                <w:sz w:val="20"/>
                <w:szCs w:val="20"/>
              </w:rPr>
            </w:pPr>
            <w:r w:rsidRPr="00A15CB9">
              <w:rPr>
                <w:rFonts w:cs="Arial"/>
                <w:sz w:val="20"/>
                <w:szCs w:val="20"/>
              </w:rPr>
              <w:t>FBIA</w:t>
            </w:r>
          </w:p>
        </w:tc>
        <w:tc>
          <w:tcPr>
            <w:tcW w:w="7954" w:type="dxa"/>
            <w:shd w:val="clear" w:color="auto" w:fill="auto"/>
          </w:tcPr>
          <w:p w14:paraId="74E251D8" w14:textId="77777777" w:rsidR="005554C7" w:rsidRPr="00A15CB9" w:rsidRDefault="005554C7" w:rsidP="005554C7">
            <w:pPr>
              <w:widowControl/>
              <w:autoSpaceDE w:val="0"/>
              <w:autoSpaceDN w:val="0"/>
              <w:adjustRightInd w:val="0"/>
              <w:rPr>
                <w:sz w:val="20"/>
                <w:szCs w:val="20"/>
              </w:rPr>
            </w:pPr>
            <w:r w:rsidRPr="00A15CB9">
              <w:rPr>
                <w:sz w:val="20"/>
                <w:szCs w:val="20"/>
              </w:rPr>
              <w:t>Option 2 may suffice for current considerations of foods, but would constrain innovation within the terms of the new definitions and so, would not be an adequate solution to the problem.</w:t>
            </w:r>
          </w:p>
          <w:p w14:paraId="296AD0B1"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p>
        </w:tc>
        <w:tc>
          <w:tcPr>
            <w:tcW w:w="2830" w:type="dxa"/>
          </w:tcPr>
          <w:p w14:paraId="01D4EE7F" w14:textId="77777777" w:rsidR="005554C7" w:rsidRPr="00A15CB9" w:rsidRDefault="005554C7" w:rsidP="005554C7">
            <w:pPr>
              <w:widowControl/>
              <w:autoSpaceDE w:val="0"/>
              <w:autoSpaceDN w:val="0"/>
              <w:adjustRightInd w:val="0"/>
              <w:rPr>
                <w:sz w:val="20"/>
                <w:szCs w:val="20"/>
              </w:rPr>
            </w:pPr>
            <w:r>
              <w:rPr>
                <w:sz w:val="20"/>
                <w:szCs w:val="20"/>
              </w:rPr>
              <w:t>As above</w:t>
            </w:r>
          </w:p>
        </w:tc>
      </w:tr>
      <w:tr w:rsidR="005554C7" w:rsidRPr="00A15CB9" w14:paraId="0C0C6656" w14:textId="77777777" w:rsidTr="00072CC7">
        <w:tc>
          <w:tcPr>
            <w:tcW w:w="2189" w:type="dxa"/>
            <w:vMerge/>
            <w:shd w:val="clear" w:color="auto" w:fill="auto"/>
          </w:tcPr>
          <w:p w14:paraId="601E938C" w14:textId="77777777" w:rsidR="005554C7" w:rsidRPr="00A15CB9" w:rsidRDefault="005554C7" w:rsidP="005554C7">
            <w:pPr>
              <w:rPr>
                <w:rFonts w:cs="Arial"/>
                <w:sz w:val="20"/>
                <w:szCs w:val="20"/>
                <w:lang w:eastAsia="en-AU" w:bidi="ar-SA"/>
              </w:rPr>
            </w:pPr>
          </w:p>
        </w:tc>
        <w:tc>
          <w:tcPr>
            <w:tcW w:w="1202" w:type="dxa"/>
            <w:shd w:val="clear" w:color="auto" w:fill="auto"/>
          </w:tcPr>
          <w:p w14:paraId="100F3ED9" w14:textId="77777777" w:rsidR="005554C7" w:rsidRPr="00A15CB9" w:rsidRDefault="005554C7" w:rsidP="005554C7">
            <w:pPr>
              <w:ind w:left="113" w:hanging="113"/>
              <w:rPr>
                <w:rFonts w:cs="Arial"/>
                <w:sz w:val="20"/>
                <w:szCs w:val="20"/>
              </w:rPr>
            </w:pPr>
            <w:r w:rsidRPr="00A15CB9">
              <w:rPr>
                <w:rFonts w:cs="Arial"/>
                <w:sz w:val="20"/>
                <w:szCs w:val="20"/>
              </w:rPr>
              <w:t>NZMPI</w:t>
            </w:r>
          </w:p>
        </w:tc>
        <w:tc>
          <w:tcPr>
            <w:tcW w:w="7954" w:type="dxa"/>
            <w:shd w:val="clear" w:color="auto" w:fill="auto"/>
          </w:tcPr>
          <w:p w14:paraId="33EACE45"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r w:rsidRPr="00A15CB9">
              <w:rPr>
                <w:rFonts w:cs="Arial"/>
                <w:color w:val="000000"/>
                <w:sz w:val="20"/>
                <w:szCs w:val="20"/>
                <w:lang w:val="en-AU" w:eastAsia="en-GB" w:bidi="ar-SA"/>
              </w:rPr>
              <w:t>MPI believes that new definitions alone will not achieve secondary objectives such as a framework of proportionate risk and opportunities for industry to access the market quickly and without undue regulatory burden.</w:t>
            </w:r>
          </w:p>
          <w:p w14:paraId="51F7F2D3"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p>
        </w:tc>
        <w:tc>
          <w:tcPr>
            <w:tcW w:w="2830" w:type="dxa"/>
          </w:tcPr>
          <w:p w14:paraId="302B669D"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As above</w:t>
            </w:r>
          </w:p>
        </w:tc>
      </w:tr>
      <w:tr w:rsidR="005554C7" w:rsidRPr="00A15CB9" w14:paraId="7737D336" w14:textId="77777777" w:rsidTr="00072CC7">
        <w:tc>
          <w:tcPr>
            <w:tcW w:w="14175" w:type="dxa"/>
            <w:gridSpan w:val="4"/>
            <w:shd w:val="clear" w:color="auto" w:fill="EAF1DD" w:themeFill="accent3" w:themeFillTint="33"/>
          </w:tcPr>
          <w:p w14:paraId="52BEA7CA" w14:textId="77777777" w:rsidR="005554C7" w:rsidRPr="00A15CB9" w:rsidRDefault="005554C7" w:rsidP="00844B97">
            <w:pPr>
              <w:pageBreakBefore/>
              <w:spacing w:before="60" w:after="60"/>
              <w:jc w:val="center"/>
              <w:rPr>
                <w:rFonts w:cs="Arial"/>
                <w:b/>
                <w:sz w:val="20"/>
                <w:szCs w:val="20"/>
                <w:lang w:eastAsia="en-AU" w:bidi="ar-SA"/>
              </w:rPr>
            </w:pPr>
            <w:r w:rsidRPr="00A15CB9">
              <w:rPr>
                <w:rFonts w:cs="Arial"/>
                <w:b/>
                <w:sz w:val="20"/>
                <w:szCs w:val="20"/>
                <w:lang w:eastAsia="en-AU" w:bidi="ar-SA"/>
              </w:rPr>
              <w:lastRenderedPageBreak/>
              <w:t>Regulatory Option 3</w:t>
            </w:r>
            <w:r>
              <w:rPr>
                <w:rFonts w:cs="Arial"/>
                <w:b/>
                <w:sz w:val="20"/>
                <w:szCs w:val="20"/>
                <w:lang w:eastAsia="en-AU" w:bidi="ar-SA"/>
              </w:rPr>
              <w:t xml:space="preserve"> – a new framework</w:t>
            </w:r>
          </w:p>
        </w:tc>
      </w:tr>
      <w:tr w:rsidR="005554C7" w:rsidRPr="00A15CB9" w14:paraId="4F770B82" w14:textId="77777777" w:rsidTr="00072CC7">
        <w:tc>
          <w:tcPr>
            <w:tcW w:w="14175" w:type="dxa"/>
            <w:gridSpan w:val="4"/>
            <w:shd w:val="clear" w:color="auto" w:fill="EAF1DD" w:themeFill="accent3" w:themeFillTint="33"/>
          </w:tcPr>
          <w:p w14:paraId="33AEAEDC" w14:textId="77777777" w:rsidR="005554C7" w:rsidRPr="00A15CB9" w:rsidRDefault="005554C7" w:rsidP="005554C7">
            <w:pPr>
              <w:spacing w:before="60" w:after="60"/>
              <w:rPr>
                <w:rFonts w:cs="Arial"/>
                <w:b/>
                <w:iCs/>
                <w:sz w:val="20"/>
                <w:szCs w:val="20"/>
                <w:lang w:eastAsia="en-GB" w:bidi="ar-SA"/>
              </w:rPr>
            </w:pPr>
            <w:r w:rsidRPr="00A15CB9">
              <w:rPr>
                <w:rFonts w:cs="Arial"/>
                <w:b/>
                <w:iCs/>
                <w:sz w:val="20"/>
                <w:szCs w:val="20"/>
                <w:lang w:eastAsia="en-GB" w:bidi="ar-SA"/>
              </w:rPr>
              <w:t>CFS Question: Do you regard the investigation of an alternative approach to regulating nutritive substances and novel foods in the Code as a viable option?</w:t>
            </w:r>
          </w:p>
        </w:tc>
      </w:tr>
      <w:tr w:rsidR="005554C7" w:rsidRPr="00A15CB9" w14:paraId="3B67D6A9" w14:textId="77777777" w:rsidTr="00072CC7">
        <w:tc>
          <w:tcPr>
            <w:tcW w:w="2189" w:type="dxa"/>
            <w:shd w:val="clear" w:color="auto" w:fill="auto"/>
          </w:tcPr>
          <w:p w14:paraId="25014F0C"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Supports the alternative framework, but only if modifications are made</w:t>
            </w:r>
          </w:p>
        </w:tc>
        <w:tc>
          <w:tcPr>
            <w:tcW w:w="1202" w:type="dxa"/>
            <w:shd w:val="clear" w:color="auto" w:fill="auto"/>
          </w:tcPr>
          <w:p w14:paraId="3E424A83" w14:textId="77777777" w:rsidR="005554C7" w:rsidRPr="00A15CB9" w:rsidRDefault="005554C7" w:rsidP="005554C7">
            <w:pPr>
              <w:rPr>
                <w:rFonts w:cs="Arial"/>
                <w:sz w:val="20"/>
                <w:szCs w:val="20"/>
              </w:rPr>
            </w:pPr>
            <w:r>
              <w:rPr>
                <w:sz w:val="20"/>
                <w:szCs w:val="20"/>
              </w:rPr>
              <w:t xml:space="preserve">AFGC, </w:t>
            </w:r>
            <w:r w:rsidRPr="00A15CB9">
              <w:rPr>
                <w:sz w:val="20"/>
                <w:szCs w:val="20"/>
              </w:rPr>
              <w:t>Fonterra, INC, Nestlé, NZFGC, NZMPI</w:t>
            </w:r>
          </w:p>
        </w:tc>
        <w:tc>
          <w:tcPr>
            <w:tcW w:w="7954" w:type="dxa"/>
            <w:shd w:val="clear" w:color="auto" w:fill="auto"/>
          </w:tcPr>
          <w:p w14:paraId="1031648D" w14:textId="77777777" w:rsidR="005554C7" w:rsidRPr="00A15CB9" w:rsidRDefault="005554C7" w:rsidP="00844B97">
            <w:pPr>
              <w:widowControl/>
              <w:numPr>
                <w:ilvl w:val="0"/>
                <w:numId w:val="9"/>
              </w:numPr>
              <w:autoSpaceDE w:val="0"/>
              <w:autoSpaceDN w:val="0"/>
              <w:adjustRightInd w:val="0"/>
              <w:ind w:left="284" w:hanging="284"/>
              <w:contextualSpacing/>
              <w:rPr>
                <w:rFonts w:eastAsiaTheme="minorHAnsi" w:cstheme="minorBidi"/>
                <w:sz w:val="20"/>
                <w:szCs w:val="20"/>
                <w:lang w:bidi="ar-SA"/>
              </w:rPr>
            </w:pPr>
            <w:r w:rsidRPr="00A15CB9">
              <w:rPr>
                <w:rFonts w:eastAsiaTheme="minorHAnsi" w:cstheme="minorBidi"/>
                <w:sz w:val="20"/>
                <w:szCs w:val="20"/>
                <w:lang w:bidi="ar-SA"/>
              </w:rPr>
              <w:t xml:space="preserve">AFGC, Fonterra, INC and NZFGC provide a caveat to their support of option 3, stating that the option must be modified to apply to special purpose foods. </w:t>
            </w:r>
          </w:p>
          <w:p w14:paraId="51EB2A59" w14:textId="77777777" w:rsidR="005554C7" w:rsidRPr="00A15CB9" w:rsidRDefault="005554C7" w:rsidP="00844B97">
            <w:pPr>
              <w:widowControl/>
              <w:numPr>
                <w:ilvl w:val="0"/>
                <w:numId w:val="9"/>
              </w:numPr>
              <w:autoSpaceDE w:val="0"/>
              <w:autoSpaceDN w:val="0"/>
              <w:adjustRightInd w:val="0"/>
              <w:ind w:left="284" w:hanging="284"/>
              <w:rPr>
                <w:rFonts w:eastAsiaTheme="minorHAnsi" w:cstheme="minorBidi"/>
                <w:sz w:val="20"/>
                <w:szCs w:val="20"/>
                <w:lang w:bidi="ar-SA"/>
              </w:rPr>
            </w:pPr>
            <w:r w:rsidRPr="00A15CB9">
              <w:rPr>
                <w:rFonts w:eastAsiaTheme="minorHAnsi" w:cstheme="minorBidi"/>
                <w:sz w:val="20"/>
                <w:szCs w:val="20"/>
                <w:lang w:bidi="ar-SA"/>
              </w:rPr>
              <w:t>NZMPI is concerned that t</w:t>
            </w:r>
            <w:r w:rsidRPr="00A15CB9">
              <w:rPr>
                <w:rFonts w:eastAsiaTheme="minorHAnsi" w:cs="Arial"/>
                <w:sz w:val="20"/>
                <w:szCs w:val="20"/>
                <w:lang w:bidi="ar-SA"/>
              </w:rPr>
              <w:t>he proposed framework for option 3 may not be viable, unless FSANZ is able to assist jurisdictions with centralised technical advice, or FSANZ provides such a service under a new model (e.g. requiring changes to the FSANZ Act and the funding model).</w:t>
            </w:r>
          </w:p>
          <w:p w14:paraId="45C469DB" w14:textId="77777777" w:rsidR="005554C7" w:rsidRPr="00A15CB9" w:rsidRDefault="005554C7" w:rsidP="005554C7">
            <w:pPr>
              <w:widowControl/>
              <w:autoSpaceDE w:val="0"/>
              <w:autoSpaceDN w:val="0"/>
              <w:adjustRightInd w:val="0"/>
              <w:spacing w:before="120"/>
              <w:ind w:left="459"/>
              <w:rPr>
                <w:rFonts w:eastAsiaTheme="minorHAnsi" w:cstheme="minorBidi"/>
                <w:sz w:val="20"/>
                <w:szCs w:val="20"/>
                <w:lang w:bidi="ar-SA"/>
              </w:rPr>
            </w:pPr>
          </w:p>
        </w:tc>
        <w:tc>
          <w:tcPr>
            <w:tcW w:w="2830" w:type="dxa"/>
          </w:tcPr>
          <w:p w14:paraId="1B1DC204" w14:textId="1CD612AE" w:rsidR="005554C7" w:rsidRDefault="005554C7" w:rsidP="005554C7">
            <w:pPr>
              <w:widowControl/>
              <w:autoSpaceDE w:val="0"/>
              <w:autoSpaceDN w:val="0"/>
              <w:adjustRightInd w:val="0"/>
              <w:contextualSpacing/>
              <w:rPr>
                <w:rFonts w:eastAsiaTheme="minorHAnsi" w:cstheme="minorBidi"/>
                <w:sz w:val="20"/>
                <w:szCs w:val="20"/>
                <w:lang w:bidi="ar-SA"/>
              </w:rPr>
            </w:pPr>
            <w:r>
              <w:rPr>
                <w:rFonts w:eastAsiaTheme="minorHAnsi" w:cstheme="minorBidi"/>
                <w:sz w:val="20"/>
                <w:szCs w:val="20"/>
                <w:lang w:bidi="ar-SA"/>
              </w:rPr>
              <w:t xml:space="preserve">FSANZ </w:t>
            </w:r>
            <w:r w:rsidR="007B78F5">
              <w:rPr>
                <w:rFonts w:eastAsiaTheme="minorHAnsi" w:cstheme="minorBidi"/>
                <w:sz w:val="20"/>
                <w:szCs w:val="20"/>
                <w:lang w:bidi="ar-SA"/>
              </w:rPr>
              <w:t xml:space="preserve">has </w:t>
            </w:r>
            <w:r>
              <w:rPr>
                <w:rFonts w:eastAsiaTheme="minorHAnsi" w:cstheme="minorBidi"/>
                <w:sz w:val="20"/>
                <w:szCs w:val="20"/>
                <w:lang w:bidi="ar-SA"/>
              </w:rPr>
              <w:t>clarif</w:t>
            </w:r>
            <w:r w:rsidR="007B78F5">
              <w:rPr>
                <w:rFonts w:eastAsiaTheme="minorHAnsi" w:cstheme="minorBidi"/>
                <w:sz w:val="20"/>
                <w:szCs w:val="20"/>
                <w:lang w:bidi="ar-SA"/>
              </w:rPr>
              <w:t>ied</w:t>
            </w:r>
            <w:r>
              <w:rPr>
                <w:rFonts w:eastAsiaTheme="minorHAnsi" w:cstheme="minorBidi"/>
                <w:sz w:val="20"/>
                <w:szCs w:val="20"/>
                <w:lang w:bidi="ar-SA"/>
              </w:rPr>
              <w:t xml:space="preserve"> how special purpose foods will be addressed </w:t>
            </w:r>
            <w:r w:rsidR="00F778DA">
              <w:rPr>
                <w:rFonts w:eastAsiaTheme="minorHAnsi" w:cstheme="minorBidi"/>
                <w:sz w:val="20"/>
                <w:szCs w:val="20"/>
                <w:lang w:bidi="ar-SA"/>
              </w:rPr>
              <w:t>(</w:t>
            </w:r>
            <w:r>
              <w:rPr>
                <w:rFonts w:eastAsiaTheme="minorHAnsi" w:cstheme="minorBidi"/>
                <w:sz w:val="20"/>
                <w:szCs w:val="20"/>
                <w:lang w:bidi="ar-SA"/>
              </w:rPr>
              <w:t>section 3.3</w:t>
            </w:r>
            <w:r w:rsidR="00E14548">
              <w:rPr>
                <w:rFonts w:eastAsiaTheme="minorHAnsi" w:cstheme="minorBidi"/>
                <w:sz w:val="20"/>
                <w:szCs w:val="20"/>
                <w:lang w:bidi="ar-SA"/>
              </w:rPr>
              <w:t xml:space="preserve"> of consultation paper</w:t>
            </w:r>
            <w:r w:rsidR="00F778DA">
              <w:rPr>
                <w:rFonts w:eastAsiaTheme="minorHAnsi" w:cstheme="minorBidi"/>
                <w:sz w:val="20"/>
                <w:szCs w:val="20"/>
                <w:lang w:bidi="ar-SA"/>
              </w:rPr>
              <w:t>)</w:t>
            </w:r>
            <w:r>
              <w:rPr>
                <w:rFonts w:eastAsiaTheme="minorHAnsi" w:cstheme="minorBidi"/>
                <w:sz w:val="20"/>
                <w:szCs w:val="20"/>
                <w:lang w:bidi="ar-SA"/>
              </w:rPr>
              <w:t>.</w:t>
            </w:r>
          </w:p>
          <w:p w14:paraId="5FA8C38E" w14:textId="77777777" w:rsidR="005554C7" w:rsidRDefault="005554C7" w:rsidP="005554C7">
            <w:pPr>
              <w:widowControl/>
              <w:autoSpaceDE w:val="0"/>
              <w:autoSpaceDN w:val="0"/>
              <w:adjustRightInd w:val="0"/>
              <w:contextualSpacing/>
              <w:rPr>
                <w:rFonts w:eastAsiaTheme="minorHAnsi" w:cstheme="minorBidi"/>
                <w:sz w:val="20"/>
                <w:szCs w:val="20"/>
                <w:lang w:bidi="ar-SA"/>
              </w:rPr>
            </w:pPr>
          </w:p>
          <w:p w14:paraId="2C6A867B" w14:textId="77777777" w:rsidR="005554C7" w:rsidRDefault="005554C7" w:rsidP="00F778DA">
            <w:pPr>
              <w:widowControl/>
              <w:autoSpaceDE w:val="0"/>
              <w:autoSpaceDN w:val="0"/>
              <w:adjustRightInd w:val="0"/>
              <w:contextualSpacing/>
              <w:rPr>
                <w:rFonts w:eastAsiaTheme="minorHAnsi" w:cstheme="minorBidi"/>
                <w:sz w:val="20"/>
                <w:szCs w:val="20"/>
                <w:lang w:bidi="ar-SA"/>
              </w:rPr>
            </w:pPr>
            <w:r>
              <w:rPr>
                <w:rFonts w:eastAsiaTheme="minorHAnsi" w:cstheme="minorBidi"/>
                <w:sz w:val="20"/>
                <w:szCs w:val="20"/>
                <w:lang w:bidi="ar-SA"/>
              </w:rPr>
              <w:t xml:space="preserve">The comments on the viability of the framework have been addressed by removing </w:t>
            </w:r>
            <w:r w:rsidR="00F778DA">
              <w:rPr>
                <w:rFonts w:eastAsiaTheme="minorHAnsi" w:cstheme="minorBidi"/>
                <w:sz w:val="20"/>
                <w:szCs w:val="20"/>
                <w:lang w:bidi="ar-SA"/>
              </w:rPr>
              <w:t>the</w:t>
            </w:r>
            <w:r>
              <w:rPr>
                <w:rFonts w:eastAsiaTheme="minorHAnsi" w:cstheme="minorBidi"/>
                <w:sz w:val="20"/>
                <w:szCs w:val="20"/>
                <w:lang w:bidi="ar-SA"/>
              </w:rPr>
              <w:t xml:space="preserve"> self-assessment notification </w:t>
            </w:r>
            <w:r w:rsidR="00F778DA">
              <w:rPr>
                <w:rFonts w:eastAsiaTheme="minorHAnsi" w:cstheme="minorBidi"/>
                <w:sz w:val="20"/>
                <w:szCs w:val="20"/>
                <w:lang w:bidi="ar-SA"/>
              </w:rPr>
              <w:t>pathway</w:t>
            </w:r>
            <w:r>
              <w:rPr>
                <w:rFonts w:eastAsiaTheme="minorHAnsi" w:cstheme="minorBidi"/>
                <w:sz w:val="20"/>
                <w:szCs w:val="20"/>
                <w:lang w:bidi="ar-SA"/>
              </w:rPr>
              <w:t xml:space="preserve"> (section 2.2</w:t>
            </w:r>
            <w:r w:rsidR="00E14548">
              <w:rPr>
                <w:rFonts w:eastAsiaTheme="minorHAnsi" w:cstheme="minorBidi"/>
                <w:sz w:val="20"/>
                <w:szCs w:val="20"/>
                <w:lang w:bidi="ar-SA"/>
              </w:rPr>
              <w:t xml:space="preserve"> of consultation paper</w:t>
            </w:r>
            <w:r>
              <w:rPr>
                <w:rFonts w:eastAsiaTheme="minorHAnsi" w:cstheme="minorBidi"/>
                <w:sz w:val="20"/>
                <w:szCs w:val="20"/>
                <w:lang w:bidi="ar-SA"/>
              </w:rPr>
              <w:t xml:space="preserve">). </w:t>
            </w:r>
          </w:p>
          <w:p w14:paraId="68630FF3" w14:textId="0C2617C5" w:rsidR="00844B97" w:rsidRPr="00A15CB9" w:rsidRDefault="00844B97" w:rsidP="00F778DA">
            <w:pPr>
              <w:widowControl/>
              <w:autoSpaceDE w:val="0"/>
              <w:autoSpaceDN w:val="0"/>
              <w:adjustRightInd w:val="0"/>
              <w:contextualSpacing/>
              <w:rPr>
                <w:rFonts w:eastAsiaTheme="minorHAnsi" w:cstheme="minorBidi"/>
                <w:sz w:val="20"/>
                <w:szCs w:val="20"/>
                <w:lang w:bidi="ar-SA"/>
              </w:rPr>
            </w:pPr>
          </w:p>
        </w:tc>
      </w:tr>
      <w:tr w:rsidR="005554C7" w:rsidRPr="00A15CB9" w14:paraId="08BBD57F" w14:textId="77777777" w:rsidTr="00072CC7">
        <w:tc>
          <w:tcPr>
            <w:tcW w:w="2189" w:type="dxa"/>
            <w:shd w:val="clear" w:color="auto" w:fill="auto"/>
          </w:tcPr>
          <w:p w14:paraId="5C52B8D2" w14:textId="12D3974D" w:rsidR="00E14548" w:rsidRPr="00A15CB9" w:rsidRDefault="005554C7" w:rsidP="005554C7">
            <w:pPr>
              <w:rPr>
                <w:rFonts w:cs="Arial"/>
                <w:sz w:val="20"/>
                <w:szCs w:val="20"/>
                <w:lang w:eastAsia="en-AU" w:bidi="ar-SA"/>
              </w:rPr>
            </w:pPr>
            <w:r w:rsidRPr="00A15CB9">
              <w:rPr>
                <w:rFonts w:cs="Arial"/>
                <w:sz w:val="20"/>
                <w:szCs w:val="20"/>
                <w:lang w:eastAsia="en-AU" w:bidi="ar-SA"/>
              </w:rPr>
              <w:t>Support all aspects of the alternative framework except the self-assessment pathway</w:t>
            </w:r>
          </w:p>
          <w:p w14:paraId="1BA29D66" w14:textId="77777777" w:rsidR="005554C7" w:rsidRPr="00A15CB9" w:rsidRDefault="005554C7" w:rsidP="005554C7">
            <w:pPr>
              <w:rPr>
                <w:rFonts w:cs="Arial"/>
                <w:sz w:val="20"/>
                <w:szCs w:val="20"/>
                <w:lang w:eastAsia="en-AU" w:bidi="ar-SA"/>
              </w:rPr>
            </w:pPr>
          </w:p>
        </w:tc>
        <w:tc>
          <w:tcPr>
            <w:tcW w:w="1202" w:type="dxa"/>
            <w:shd w:val="clear" w:color="auto" w:fill="auto"/>
          </w:tcPr>
          <w:p w14:paraId="487D248D" w14:textId="77777777" w:rsidR="005554C7" w:rsidRPr="00A15CB9" w:rsidRDefault="005554C7" w:rsidP="005554C7">
            <w:pPr>
              <w:ind w:left="113" w:hanging="113"/>
              <w:rPr>
                <w:sz w:val="20"/>
                <w:szCs w:val="20"/>
              </w:rPr>
            </w:pPr>
            <w:r w:rsidRPr="00A15CB9">
              <w:rPr>
                <w:sz w:val="20"/>
                <w:szCs w:val="20"/>
              </w:rPr>
              <w:t>NZMPI</w:t>
            </w:r>
          </w:p>
        </w:tc>
        <w:tc>
          <w:tcPr>
            <w:tcW w:w="7954" w:type="dxa"/>
            <w:shd w:val="clear" w:color="auto" w:fill="auto"/>
          </w:tcPr>
          <w:p w14:paraId="03F00E8B"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r w:rsidRPr="00A15CB9">
              <w:rPr>
                <w:rFonts w:cs="Arial"/>
                <w:color w:val="000000"/>
                <w:sz w:val="20"/>
                <w:szCs w:val="20"/>
                <w:lang w:val="en-AU" w:eastAsia="en-GB" w:bidi="ar-SA"/>
              </w:rPr>
              <w:t>NZMPI may also support a modified option 3 that includes amending the definitions, applying the EFC and FSANZ application process, but does not include the industry self-assessment pathway.</w:t>
            </w:r>
          </w:p>
          <w:p w14:paraId="2B6A8B64" w14:textId="77777777" w:rsidR="005554C7" w:rsidRPr="00A15CB9" w:rsidRDefault="005554C7" w:rsidP="005554C7">
            <w:pPr>
              <w:widowControl/>
              <w:autoSpaceDE w:val="0"/>
              <w:autoSpaceDN w:val="0"/>
              <w:adjustRightInd w:val="0"/>
              <w:rPr>
                <w:sz w:val="20"/>
                <w:szCs w:val="20"/>
              </w:rPr>
            </w:pPr>
          </w:p>
        </w:tc>
        <w:tc>
          <w:tcPr>
            <w:tcW w:w="2830" w:type="dxa"/>
          </w:tcPr>
          <w:p w14:paraId="31724B34" w14:textId="77777777" w:rsidR="005554C7" w:rsidRPr="00A15CB9" w:rsidRDefault="005554C7" w:rsidP="005554C7">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Noted, as above</w:t>
            </w:r>
          </w:p>
        </w:tc>
      </w:tr>
      <w:tr w:rsidR="005554C7" w:rsidRPr="00A15CB9" w14:paraId="1FBDD279" w14:textId="77777777" w:rsidTr="00072CC7">
        <w:tc>
          <w:tcPr>
            <w:tcW w:w="14175" w:type="dxa"/>
            <w:gridSpan w:val="4"/>
            <w:shd w:val="clear" w:color="auto" w:fill="EAF1DD" w:themeFill="accent3" w:themeFillTint="33"/>
          </w:tcPr>
          <w:p w14:paraId="28FA272E" w14:textId="77777777" w:rsidR="005554C7" w:rsidRPr="00A15CB9" w:rsidRDefault="005554C7" w:rsidP="005554C7">
            <w:pPr>
              <w:spacing w:before="60" w:after="60"/>
              <w:rPr>
                <w:rFonts w:cs="Arial"/>
                <w:b/>
                <w:iCs/>
                <w:sz w:val="20"/>
                <w:szCs w:val="20"/>
                <w:lang w:eastAsia="en-GB" w:bidi="ar-SA"/>
              </w:rPr>
            </w:pPr>
            <w:r w:rsidRPr="00A15CB9">
              <w:rPr>
                <w:rFonts w:cs="Arial"/>
                <w:b/>
                <w:iCs/>
                <w:sz w:val="20"/>
                <w:szCs w:val="20"/>
                <w:lang w:eastAsia="en-GB" w:bidi="ar-SA"/>
              </w:rPr>
              <w:t>CFS Question: In particular, taking account of FSANZ’s primary objective of protecting public health and safety, is the draft framework presented in option 3 a viable option?</w:t>
            </w:r>
          </w:p>
        </w:tc>
      </w:tr>
      <w:tr w:rsidR="005554C7" w:rsidRPr="00A15CB9" w14:paraId="0A81368D" w14:textId="77777777" w:rsidTr="00072CC7">
        <w:tc>
          <w:tcPr>
            <w:tcW w:w="2189" w:type="dxa"/>
            <w:shd w:val="clear" w:color="auto" w:fill="auto"/>
          </w:tcPr>
          <w:p w14:paraId="50403FBA"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Yes, the draft framework is a viable option</w:t>
            </w:r>
          </w:p>
        </w:tc>
        <w:tc>
          <w:tcPr>
            <w:tcW w:w="1202" w:type="dxa"/>
            <w:shd w:val="clear" w:color="auto" w:fill="auto"/>
          </w:tcPr>
          <w:p w14:paraId="4BD99F42" w14:textId="77777777" w:rsidR="005554C7" w:rsidRPr="00A15CB9" w:rsidRDefault="005554C7" w:rsidP="005554C7">
            <w:pPr>
              <w:rPr>
                <w:rFonts w:cs="Arial"/>
                <w:sz w:val="20"/>
                <w:szCs w:val="20"/>
              </w:rPr>
            </w:pPr>
            <w:r w:rsidRPr="00A15CB9">
              <w:rPr>
                <w:rFonts w:cs="Arial"/>
                <w:sz w:val="20"/>
                <w:szCs w:val="20"/>
              </w:rPr>
              <w:t>ABC, Comvita, Dairy, DN, Frucor</w:t>
            </w:r>
          </w:p>
        </w:tc>
        <w:tc>
          <w:tcPr>
            <w:tcW w:w="7954" w:type="dxa"/>
            <w:shd w:val="clear" w:color="auto" w:fill="auto"/>
          </w:tcPr>
          <w:p w14:paraId="76BF74E6" w14:textId="77777777" w:rsidR="005554C7" w:rsidRPr="00A15CB9" w:rsidRDefault="005554C7" w:rsidP="00844B97">
            <w:pPr>
              <w:widowControl/>
              <w:numPr>
                <w:ilvl w:val="0"/>
                <w:numId w:val="10"/>
              </w:numPr>
              <w:autoSpaceDE w:val="0"/>
              <w:autoSpaceDN w:val="0"/>
              <w:adjustRightInd w:val="0"/>
              <w:ind w:left="284" w:hanging="284"/>
              <w:contextualSpacing/>
              <w:rPr>
                <w:rFonts w:eastAsiaTheme="minorHAnsi" w:cs="Arial"/>
                <w:sz w:val="20"/>
                <w:szCs w:val="20"/>
                <w:lang w:eastAsia="en-GB" w:bidi="ar-SA"/>
              </w:rPr>
            </w:pPr>
            <w:r w:rsidRPr="00A15CB9">
              <w:rPr>
                <w:rFonts w:eastAsiaTheme="minorHAnsi" w:cs="Arial"/>
                <w:sz w:val="20"/>
                <w:szCs w:val="20"/>
                <w:lang w:eastAsia="en-GB" w:bidi="ar-SA"/>
              </w:rPr>
              <w:t>Comvita stated that it was viable except in respect to the publication of full dossiers.</w:t>
            </w:r>
          </w:p>
          <w:p w14:paraId="29F4982A" w14:textId="77777777" w:rsidR="005554C7" w:rsidRPr="00A15CB9" w:rsidRDefault="005554C7" w:rsidP="00844B97">
            <w:pPr>
              <w:widowControl/>
              <w:numPr>
                <w:ilvl w:val="0"/>
                <w:numId w:val="10"/>
              </w:numPr>
              <w:autoSpaceDE w:val="0"/>
              <w:autoSpaceDN w:val="0"/>
              <w:adjustRightInd w:val="0"/>
              <w:ind w:left="284" w:hanging="284"/>
              <w:rPr>
                <w:rFonts w:eastAsiaTheme="minorHAnsi" w:cstheme="minorBidi"/>
                <w:sz w:val="20"/>
                <w:szCs w:val="20"/>
                <w:lang w:bidi="ar-SA"/>
              </w:rPr>
            </w:pPr>
            <w:r w:rsidRPr="00A15CB9">
              <w:rPr>
                <w:rFonts w:eastAsiaTheme="minorHAnsi" w:cstheme="minorBidi"/>
                <w:bCs/>
                <w:sz w:val="20"/>
                <w:szCs w:val="20"/>
                <w:lang w:bidi="ar-SA"/>
              </w:rPr>
              <w:t>The risks with the new framework are no different to the current process</w:t>
            </w:r>
            <w:r w:rsidRPr="00A15CB9">
              <w:rPr>
                <w:rFonts w:eastAsiaTheme="minorHAnsi" w:cstheme="minorBidi"/>
                <w:sz w:val="20"/>
                <w:szCs w:val="20"/>
                <w:lang w:bidi="ar-SA"/>
              </w:rPr>
              <w:t>. Companies are required to hold information on the safety of foods and ingredients regardless of which pathway they fall under (Dairy).</w:t>
            </w:r>
          </w:p>
          <w:p w14:paraId="277E396F" w14:textId="77777777" w:rsidR="005554C7" w:rsidRPr="00A15CB9" w:rsidRDefault="005554C7" w:rsidP="005554C7">
            <w:pPr>
              <w:widowControl/>
              <w:autoSpaceDE w:val="0"/>
              <w:autoSpaceDN w:val="0"/>
              <w:adjustRightInd w:val="0"/>
              <w:ind w:left="459" w:hanging="459"/>
              <w:rPr>
                <w:rFonts w:cs="Arial"/>
                <w:sz w:val="20"/>
                <w:szCs w:val="20"/>
                <w:lang w:eastAsia="en-GB" w:bidi="ar-SA"/>
              </w:rPr>
            </w:pPr>
          </w:p>
        </w:tc>
        <w:tc>
          <w:tcPr>
            <w:tcW w:w="2830" w:type="dxa"/>
          </w:tcPr>
          <w:p w14:paraId="154025B3" w14:textId="77777777" w:rsidR="005554C7" w:rsidRDefault="00302E1F" w:rsidP="00F778DA">
            <w:pPr>
              <w:widowControl/>
              <w:autoSpaceDE w:val="0"/>
              <w:autoSpaceDN w:val="0"/>
              <w:adjustRightInd w:val="0"/>
              <w:contextualSpacing/>
              <w:rPr>
                <w:rFonts w:eastAsiaTheme="minorHAnsi" w:cs="Arial"/>
                <w:sz w:val="20"/>
                <w:szCs w:val="20"/>
                <w:lang w:eastAsia="en-GB" w:bidi="ar-SA"/>
              </w:rPr>
            </w:pPr>
            <w:r>
              <w:rPr>
                <w:sz w:val="20"/>
                <w:szCs w:val="20"/>
              </w:rPr>
              <w:t>For the reasons outlined in the Consultation Paper, the self-assessment notification pathway has been removed from the modified framework</w:t>
            </w:r>
            <w:r w:rsidDel="00302E1F">
              <w:rPr>
                <w:rFonts w:eastAsiaTheme="minorHAnsi" w:cs="Arial"/>
                <w:sz w:val="20"/>
                <w:szCs w:val="20"/>
                <w:lang w:eastAsia="en-GB" w:bidi="ar-SA"/>
              </w:rPr>
              <w:t xml:space="preserve"> </w:t>
            </w:r>
            <w:r w:rsidR="006A5B16">
              <w:rPr>
                <w:rFonts w:eastAsiaTheme="minorHAnsi" w:cs="Arial"/>
                <w:sz w:val="20"/>
                <w:szCs w:val="20"/>
                <w:lang w:eastAsia="en-GB" w:bidi="ar-SA"/>
              </w:rPr>
              <w:t>(section 2.2 of the consultation paper)</w:t>
            </w:r>
            <w:r w:rsidR="005554C7">
              <w:rPr>
                <w:rFonts w:eastAsiaTheme="minorHAnsi" w:cs="Arial"/>
                <w:sz w:val="20"/>
                <w:szCs w:val="20"/>
                <w:lang w:eastAsia="en-GB" w:bidi="ar-SA"/>
              </w:rPr>
              <w:t>.</w:t>
            </w:r>
          </w:p>
          <w:p w14:paraId="306E1750" w14:textId="2470C4F1" w:rsidR="00844B97" w:rsidRPr="00A15CB9" w:rsidRDefault="00844B97" w:rsidP="00F778DA">
            <w:pPr>
              <w:widowControl/>
              <w:autoSpaceDE w:val="0"/>
              <w:autoSpaceDN w:val="0"/>
              <w:adjustRightInd w:val="0"/>
              <w:contextualSpacing/>
              <w:rPr>
                <w:rFonts w:eastAsiaTheme="minorHAnsi" w:cs="Arial"/>
                <w:sz w:val="20"/>
                <w:szCs w:val="20"/>
                <w:lang w:eastAsia="en-GB" w:bidi="ar-SA"/>
              </w:rPr>
            </w:pPr>
          </w:p>
        </w:tc>
      </w:tr>
      <w:tr w:rsidR="005554C7" w:rsidRPr="00A15CB9" w14:paraId="4434B62B" w14:textId="77777777" w:rsidTr="00072CC7">
        <w:tc>
          <w:tcPr>
            <w:tcW w:w="2189" w:type="dxa"/>
            <w:shd w:val="clear" w:color="auto" w:fill="auto"/>
          </w:tcPr>
          <w:p w14:paraId="1A167493" w14:textId="77777777" w:rsidR="005554C7" w:rsidRPr="00A15CB9" w:rsidRDefault="005554C7" w:rsidP="00844B97">
            <w:pPr>
              <w:pageBreakBefore/>
              <w:rPr>
                <w:rFonts w:cs="Arial"/>
                <w:iCs/>
                <w:sz w:val="20"/>
                <w:szCs w:val="20"/>
                <w:lang w:eastAsia="en-GB" w:bidi="ar-SA"/>
              </w:rPr>
            </w:pPr>
            <w:r w:rsidRPr="00A15CB9">
              <w:rPr>
                <w:rFonts w:cs="Arial"/>
                <w:sz w:val="20"/>
                <w:szCs w:val="20"/>
                <w:lang w:eastAsia="en-AU" w:bidi="ar-SA"/>
              </w:rPr>
              <w:lastRenderedPageBreak/>
              <w:t>No, the draft framework is not a viable option</w:t>
            </w:r>
          </w:p>
        </w:tc>
        <w:tc>
          <w:tcPr>
            <w:tcW w:w="1202" w:type="dxa"/>
            <w:shd w:val="clear" w:color="auto" w:fill="auto"/>
          </w:tcPr>
          <w:p w14:paraId="6A82EB77" w14:textId="77777777" w:rsidR="005554C7" w:rsidRPr="00A15CB9" w:rsidRDefault="005554C7" w:rsidP="005554C7">
            <w:pPr>
              <w:rPr>
                <w:rFonts w:cs="Arial"/>
                <w:sz w:val="20"/>
                <w:szCs w:val="20"/>
              </w:rPr>
            </w:pPr>
            <w:r w:rsidRPr="00A15CB9">
              <w:rPr>
                <w:sz w:val="20"/>
                <w:szCs w:val="20"/>
              </w:rPr>
              <w:t>Vic Govt</w:t>
            </w:r>
          </w:p>
        </w:tc>
        <w:tc>
          <w:tcPr>
            <w:tcW w:w="7954" w:type="dxa"/>
            <w:shd w:val="clear" w:color="auto" w:fill="auto"/>
          </w:tcPr>
          <w:p w14:paraId="3B9019AF" w14:textId="77777777" w:rsidR="005554C7" w:rsidRPr="00A15CB9" w:rsidRDefault="005554C7" w:rsidP="005554C7">
            <w:pPr>
              <w:widowControl/>
              <w:autoSpaceDE w:val="0"/>
              <w:autoSpaceDN w:val="0"/>
              <w:adjustRightInd w:val="0"/>
              <w:rPr>
                <w:rFonts w:cs="Arial"/>
                <w:sz w:val="20"/>
                <w:szCs w:val="20"/>
                <w:lang w:eastAsia="en-GB" w:bidi="ar-SA"/>
              </w:rPr>
            </w:pPr>
            <w:r>
              <w:rPr>
                <w:rFonts w:cs="Arial"/>
                <w:sz w:val="20"/>
                <w:szCs w:val="20"/>
                <w:lang w:eastAsia="en-GB" w:bidi="ar-SA"/>
              </w:rPr>
              <w:t xml:space="preserve">Does not support enforcement agencies being responsible for determining compliance with the EFC. </w:t>
            </w:r>
            <w:r w:rsidRPr="00A15CB9">
              <w:rPr>
                <w:rFonts w:cs="Arial"/>
                <w:sz w:val="20"/>
                <w:szCs w:val="20"/>
                <w:lang w:eastAsia="en-GB" w:bidi="ar-SA"/>
              </w:rPr>
              <w:t>A variation of option 3 could be viable. This would require exclusion of the first proposed element of the draft framework, which allows new foods that meet the EFC to go to market without regulatory approval. We advocate for FSANZ to undertake a fast-track assessment of foods meeting the EFC instead.</w:t>
            </w:r>
          </w:p>
          <w:p w14:paraId="2236262B"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12630010" w14:textId="7A4756A1" w:rsidR="005554C7" w:rsidRDefault="00F778DA" w:rsidP="005554C7">
            <w:pPr>
              <w:widowControl/>
              <w:autoSpaceDE w:val="0"/>
              <w:autoSpaceDN w:val="0"/>
              <w:adjustRightInd w:val="0"/>
              <w:rPr>
                <w:rFonts w:cs="Arial"/>
                <w:sz w:val="20"/>
                <w:szCs w:val="20"/>
                <w:lang w:eastAsia="en-GB" w:bidi="ar-SA"/>
              </w:rPr>
            </w:pPr>
            <w:r>
              <w:rPr>
                <w:rFonts w:cs="Arial"/>
                <w:sz w:val="20"/>
                <w:szCs w:val="20"/>
                <w:lang w:eastAsia="en-GB" w:bidi="ar-SA"/>
              </w:rPr>
              <w:t>A r</w:t>
            </w:r>
            <w:r w:rsidR="005554C7">
              <w:rPr>
                <w:rFonts w:cs="Arial"/>
                <w:sz w:val="20"/>
                <w:szCs w:val="20"/>
                <w:lang w:eastAsia="en-GB" w:bidi="ar-SA"/>
              </w:rPr>
              <w:t xml:space="preserve">equirement for all new foods to go through a FSANZ approval process, even a streamlined one, would impose a greater regulatory burden than the current process (where </w:t>
            </w:r>
            <w:r w:rsidR="006A5B16">
              <w:rPr>
                <w:rFonts w:cs="Arial"/>
                <w:sz w:val="20"/>
                <w:szCs w:val="20"/>
                <w:lang w:eastAsia="en-GB" w:bidi="ar-SA"/>
              </w:rPr>
              <w:t xml:space="preserve">not all </w:t>
            </w:r>
            <w:r w:rsidR="005554C7">
              <w:rPr>
                <w:rFonts w:cs="Arial"/>
                <w:sz w:val="20"/>
                <w:szCs w:val="20"/>
                <w:lang w:eastAsia="en-GB" w:bidi="ar-SA"/>
              </w:rPr>
              <w:t>new foods require pre-approval</w:t>
            </w:r>
            <w:r w:rsidR="006A5B16">
              <w:rPr>
                <w:rFonts w:cs="Arial"/>
                <w:sz w:val="20"/>
                <w:szCs w:val="20"/>
                <w:lang w:eastAsia="en-GB" w:bidi="ar-SA"/>
              </w:rPr>
              <w:t xml:space="preserve"> – i.e. those not considered ‘novel’</w:t>
            </w:r>
            <w:r w:rsidR="005554C7">
              <w:rPr>
                <w:rFonts w:cs="Arial"/>
                <w:sz w:val="20"/>
                <w:szCs w:val="20"/>
                <w:lang w:eastAsia="en-GB" w:bidi="ar-SA"/>
              </w:rPr>
              <w:t>).</w:t>
            </w:r>
          </w:p>
          <w:p w14:paraId="7B062161" w14:textId="77777777" w:rsidR="005554C7" w:rsidRDefault="005554C7" w:rsidP="005554C7">
            <w:pPr>
              <w:widowControl/>
              <w:autoSpaceDE w:val="0"/>
              <w:autoSpaceDN w:val="0"/>
              <w:adjustRightInd w:val="0"/>
              <w:rPr>
                <w:rFonts w:cs="Arial"/>
                <w:sz w:val="20"/>
                <w:szCs w:val="20"/>
                <w:lang w:eastAsia="en-GB" w:bidi="ar-SA"/>
              </w:rPr>
            </w:pPr>
          </w:p>
          <w:p w14:paraId="2D9A4713" w14:textId="77777777" w:rsidR="00E14548" w:rsidRDefault="00F778DA" w:rsidP="00F778DA">
            <w:pPr>
              <w:widowControl/>
              <w:autoSpaceDE w:val="0"/>
              <w:autoSpaceDN w:val="0"/>
              <w:adjustRightInd w:val="0"/>
              <w:rPr>
                <w:rFonts w:cs="Arial"/>
                <w:sz w:val="20"/>
                <w:szCs w:val="20"/>
                <w:lang w:eastAsia="en-GB" w:bidi="ar-SA"/>
              </w:rPr>
            </w:pPr>
            <w:r>
              <w:rPr>
                <w:rFonts w:cs="Arial"/>
                <w:sz w:val="20"/>
                <w:szCs w:val="20"/>
                <w:lang w:eastAsia="en-GB" w:bidi="ar-SA"/>
              </w:rPr>
              <w:t>FSANZ considers a</w:t>
            </w:r>
            <w:r w:rsidR="005554C7">
              <w:rPr>
                <w:rFonts w:cs="Arial"/>
                <w:sz w:val="20"/>
                <w:szCs w:val="20"/>
                <w:lang w:eastAsia="en-GB" w:bidi="ar-SA"/>
              </w:rPr>
              <w:t xml:space="preserve">n approach </w:t>
            </w:r>
            <w:r>
              <w:rPr>
                <w:rFonts w:cs="Arial"/>
                <w:sz w:val="20"/>
                <w:szCs w:val="20"/>
                <w:lang w:eastAsia="en-GB" w:bidi="ar-SA"/>
              </w:rPr>
              <w:t xml:space="preserve">that requires </w:t>
            </w:r>
            <w:r w:rsidR="005554C7">
              <w:rPr>
                <w:rFonts w:cs="Arial"/>
                <w:sz w:val="20"/>
                <w:szCs w:val="20"/>
                <w:lang w:eastAsia="en-GB" w:bidi="ar-SA"/>
              </w:rPr>
              <w:t xml:space="preserve">FSANZ </w:t>
            </w:r>
            <w:r w:rsidR="006A5B16">
              <w:rPr>
                <w:rFonts w:cs="Arial"/>
                <w:sz w:val="20"/>
                <w:szCs w:val="20"/>
                <w:lang w:eastAsia="en-GB" w:bidi="ar-SA"/>
              </w:rPr>
              <w:t xml:space="preserve">assessment </w:t>
            </w:r>
            <w:r w:rsidR="005554C7">
              <w:rPr>
                <w:rFonts w:cs="Arial"/>
                <w:sz w:val="20"/>
                <w:szCs w:val="20"/>
                <w:lang w:eastAsia="en-GB" w:bidi="ar-SA"/>
              </w:rPr>
              <w:t>oversight</w:t>
            </w:r>
            <w:r>
              <w:rPr>
                <w:rFonts w:cs="Arial"/>
                <w:sz w:val="20"/>
                <w:szCs w:val="20"/>
                <w:lang w:eastAsia="en-GB" w:bidi="ar-SA"/>
              </w:rPr>
              <w:t xml:space="preserve"> of all new foods</w:t>
            </w:r>
            <w:r w:rsidR="005554C7">
              <w:rPr>
                <w:rFonts w:cs="Arial"/>
                <w:sz w:val="20"/>
                <w:szCs w:val="20"/>
                <w:lang w:eastAsia="en-GB" w:bidi="ar-SA"/>
              </w:rPr>
              <w:t xml:space="preserve">, including those meeting the EFC, would be </w:t>
            </w:r>
            <w:r>
              <w:rPr>
                <w:rFonts w:cs="Arial"/>
                <w:sz w:val="20"/>
                <w:szCs w:val="20"/>
                <w:lang w:eastAsia="en-GB" w:bidi="ar-SA"/>
              </w:rPr>
              <w:t xml:space="preserve">disproportionate to risk and may </w:t>
            </w:r>
            <w:r w:rsidR="005554C7">
              <w:rPr>
                <w:rFonts w:cs="Arial"/>
                <w:sz w:val="20"/>
                <w:szCs w:val="20"/>
                <w:lang w:eastAsia="en-GB" w:bidi="ar-SA"/>
              </w:rPr>
              <w:t xml:space="preserve">not </w:t>
            </w:r>
            <w:r>
              <w:rPr>
                <w:rFonts w:cs="Arial"/>
                <w:sz w:val="20"/>
                <w:szCs w:val="20"/>
                <w:lang w:eastAsia="en-GB" w:bidi="ar-SA"/>
              </w:rPr>
              <w:t xml:space="preserve">be </w:t>
            </w:r>
            <w:r w:rsidR="005554C7">
              <w:rPr>
                <w:rFonts w:cs="Arial"/>
                <w:sz w:val="20"/>
                <w:szCs w:val="20"/>
                <w:lang w:eastAsia="en-GB" w:bidi="ar-SA"/>
              </w:rPr>
              <w:t xml:space="preserve">consistent </w:t>
            </w:r>
            <w:r>
              <w:rPr>
                <w:rFonts w:cs="Arial"/>
                <w:sz w:val="20"/>
                <w:szCs w:val="20"/>
                <w:lang w:eastAsia="en-GB" w:bidi="ar-SA"/>
              </w:rPr>
              <w:t>with FSANZ’ secondary objective</w:t>
            </w:r>
            <w:r w:rsidR="005554C7">
              <w:rPr>
                <w:rFonts w:cs="Arial"/>
                <w:sz w:val="20"/>
                <w:szCs w:val="20"/>
                <w:lang w:eastAsia="en-GB" w:bidi="ar-SA"/>
              </w:rPr>
              <w:t xml:space="preserve"> to support a competitive food industry. FSANZ can work with jurisdictions on implementing this proposal, including provision of guidance material to assist interpretation.</w:t>
            </w:r>
          </w:p>
          <w:p w14:paraId="353B6F97" w14:textId="5B0A1A28" w:rsidR="00844B97" w:rsidRDefault="00844B97" w:rsidP="00F778DA">
            <w:pPr>
              <w:widowControl/>
              <w:autoSpaceDE w:val="0"/>
              <w:autoSpaceDN w:val="0"/>
              <w:adjustRightInd w:val="0"/>
              <w:rPr>
                <w:rFonts w:cs="Arial"/>
                <w:sz w:val="20"/>
                <w:szCs w:val="20"/>
                <w:lang w:eastAsia="en-GB" w:bidi="ar-SA"/>
              </w:rPr>
            </w:pPr>
          </w:p>
        </w:tc>
      </w:tr>
      <w:tr w:rsidR="005554C7" w:rsidRPr="00A15CB9" w14:paraId="0E9695F7" w14:textId="77777777" w:rsidTr="00072CC7">
        <w:tc>
          <w:tcPr>
            <w:tcW w:w="14175" w:type="dxa"/>
            <w:gridSpan w:val="4"/>
            <w:shd w:val="clear" w:color="auto" w:fill="EAF1DD" w:themeFill="accent3" w:themeFillTint="33"/>
          </w:tcPr>
          <w:p w14:paraId="353D5FF2" w14:textId="77777777" w:rsidR="005554C7" w:rsidRPr="00A15CB9" w:rsidRDefault="005554C7" w:rsidP="005554C7">
            <w:pPr>
              <w:spacing w:before="60" w:after="60"/>
              <w:rPr>
                <w:rFonts w:cs="Arial"/>
                <w:b/>
                <w:iCs/>
                <w:sz w:val="20"/>
                <w:szCs w:val="20"/>
                <w:lang w:eastAsia="en-GB" w:bidi="ar-SA"/>
              </w:rPr>
            </w:pPr>
            <w:r w:rsidRPr="00A15CB9">
              <w:rPr>
                <w:rFonts w:cs="Arial"/>
                <w:b/>
                <w:iCs/>
                <w:sz w:val="20"/>
                <w:szCs w:val="20"/>
                <w:lang w:eastAsia="en-GB" w:bidi="ar-SA"/>
              </w:rPr>
              <w:t xml:space="preserve">CFS Question: </w:t>
            </w:r>
            <w:r w:rsidRPr="00A15CB9">
              <w:rPr>
                <w:b/>
                <w:sz w:val="20"/>
                <w:szCs w:val="20"/>
              </w:rPr>
              <w:t>What aspects of the draft framework do you think are viable or not viable? Please provide supporting statements for your view.</w:t>
            </w:r>
          </w:p>
        </w:tc>
      </w:tr>
      <w:tr w:rsidR="005554C7" w:rsidRPr="00A15CB9" w14:paraId="122D979F" w14:textId="77777777" w:rsidTr="00072CC7">
        <w:tc>
          <w:tcPr>
            <w:tcW w:w="2189" w:type="dxa"/>
            <w:shd w:val="clear" w:color="auto" w:fill="auto"/>
          </w:tcPr>
          <w:p w14:paraId="4203F069"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The proposed self-assessment pathway is not viable</w:t>
            </w:r>
          </w:p>
        </w:tc>
        <w:tc>
          <w:tcPr>
            <w:tcW w:w="1202" w:type="dxa"/>
            <w:shd w:val="clear" w:color="auto" w:fill="auto"/>
          </w:tcPr>
          <w:p w14:paraId="2C2AB128" w14:textId="77777777" w:rsidR="005554C7" w:rsidRPr="00A15CB9" w:rsidRDefault="005554C7" w:rsidP="005554C7">
            <w:pPr>
              <w:rPr>
                <w:rFonts w:cs="Arial"/>
                <w:sz w:val="20"/>
                <w:szCs w:val="20"/>
              </w:rPr>
            </w:pPr>
            <w:r w:rsidRPr="00A15CB9">
              <w:rPr>
                <w:rFonts w:cs="Arial"/>
                <w:sz w:val="20"/>
                <w:szCs w:val="20"/>
              </w:rPr>
              <w:t>NSWFA, NZMPI, SA, Vic Govt</w:t>
            </w:r>
          </w:p>
        </w:tc>
        <w:tc>
          <w:tcPr>
            <w:tcW w:w="7954" w:type="dxa"/>
            <w:shd w:val="clear" w:color="auto" w:fill="auto"/>
          </w:tcPr>
          <w:p w14:paraId="7CDB0A2B" w14:textId="77777777" w:rsidR="005554C7" w:rsidRPr="00A15CB9"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The proposed industry self-assessment is not viable for the following reasons:</w:t>
            </w:r>
          </w:p>
          <w:p w14:paraId="7A220E20" w14:textId="0BBCB812" w:rsidR="005554C7" w:rsidRDefault="005554C7" w:rsidP="003D6BED">
            <w:pPr>
              <w:pStyle w:val="FSBullet1"/>
              <w:numPr>
                <w:ilvl w:val="0"/>
                <w:numId w:val="11"/>
              </w:numPr>
              <w:ind w:left="567" w:hanging="567"/>
              <w:rPr>
                <w:rFonts w:eastAsiaTheme="minorHAnsi"/>
                <w:color w:val="000000"/>
                <w:sz w:val="20"/>
                <w:lang w:eastAsia="en-GB"/>
              </w:rPr>
            </w:pPr>
            <w:r w:rsidRPr="009D0C23">
              <w:rPr>
                <w:rFonts w:eastAsiaTheme="minorHAnsi" w:cstheme="minorBidi"/>
                <w:sz w:val="20"/>
              </w:rPr>
              <w:t xml:space="preserve">Enforcement authorities do not have the technical capacity or the resources to assess dossiers used to </w:t>
            </w:r>
            <w:r w:rsidRPr="009D0C23">
              <w:rPr>
                <w:rFonts w:eastAsiaTheme="minorHAnsi"/>
                <w:sz w:val="20"/>
                <w:lang w:eastAsia="en-GB"/>
              </w:rPr>
              <w:t>demonstrate that foods meet gateway tests for non-eligible foods (SA, NZMPI, Vic Govt). In Victoria, that responsibility would fall to the 79 local government authorities (Vic Govt). Experience to date with the introduction of industry self-assessment for general level health claims supports this position (SA, Vic Govt).</w:t>
            </w:r>
            <w:r w:rsidRPr="009D0C23">
              <w:rPr>
                <w:rFonts w:eastAsiaTheme="minorHAnsi"/>
                <w:color w:val="000000"/>
                <w:sz w:val="20"/>
                <w:lang w:eastAsia="en-GB"/>
              </w:rPr>
              <w:t xml:space="preserve"> </w:t>
            </w:r>
          </w:p>
          <w:p w14:paraId="0784E13B" w14:textId="77777777" w:rsidR="005554C7" w:rsidRPr="009D0C23" w:rsidRDefault="005554C7" w:rsidP="00844B97">
            <w:pPr>
              <w:pStyle w:val="FSBullet1"/>
              <w:numPr>
                <w:ilvl w:val="0"/>
                <w:numId w:val="11"/>
              </w:numPr>
              <w:ind w:left="284" w:hanging="284"/>
              <w:rPr>
                <w:rFonts w:eastAsiaTheme="minorHAnsi"/>
                <w:sz w:val="20"/>
                <w:lang w:eastAsia="en-GB"/>
              </w:rPr>
            </w:pPr>
            <w:r w:rsidRPr="009D0C23">
              <w:rPr>
                <w:rFonts w:eastAsiaTheme="minorHAnsi"/>
                <w:color w:val="000000"/>
                <w:sz w:val="20"/>
                <w:lang w:eastAsia="en-GB"/>
              </w:rPr>
              <w:lastRenderedPageBreak/>
              <w:t>FSANZ would need to have a direct role in providing a centralised safety assessment advice to make the self-assessment pathway viable (NZMPI).</w:t>
            </w:r>
          </w:p>
          <w:p w14:paraId="0FC154CD" w14:textId="77777777" w:rsidR="005554C7" w:rsidRPr="009D0C23" w:rsidRDefault="005554C7" w:rsidP="00844B97">
            <w:pPr>
              <w:pStyle w:val="FSBullet1"/>
              <w:numPr>
                <w:ilvl w:val="0"/>
                <w:numId w:val="11"/>
              </w:numPr>
              <w:ind w:left="284" w:hanging="284"/>
              <w:rPr>
                <w:rFonts w:eastAsiaTheme="minorHAnsi" w:cstheme="minorBidi"/>
                <w:sz w:val="20"/>
              </w:rPr>
            </w:pPr>
            <w:r w:rsidRPr="009D0C23">
              <w:rPr>
                <w:rFonts w:eastAsiaTheme="minorHAnsi" w:cstheme="minorBidi"/>
                <w:sz w:val="20"/>
              </w:rPr>
              <w:t>The industry self-assessment is too complicated for most businesses. Most small to medium enterprises will not have the ability, capacity or resources to be able to meet this requirement (SA).</w:t>
            </w:r>
          </w:p>
          <w:p w14:paraId="06DEF113" w14:textId="77777777" w:rsidR="005554C7" w:rsidRPr="009D0C23" w:rsidRDefault="005554C7" w:rsidP="00844B97">
            <w:pPr>
              <w:pStyle w:val="FSBullet1"/>
              <w:numPr>
                <w:ilvl w:val="0"/>
                <w:numId w:val="11"/>
              </w:numPr>
              <w:ind w:left="284" w:hanging="284"/>
              <w:rPr>
                <w:rFonts w:eastAsiaTheme="minorHAnsi" w:cstheme="minorBidi"/>
                <w:sz w:val="20"/>
              </w:rPr>
            </w:pPr>
            <w:r w:rsidRPr="009D0C23">
              <w:rPr>
                <w:rFonts w:eastAsiaTheme="minorHAnsi" w:cstheme="minorBidi"/>
                <w:sz w:val="20"/>
              </w:rPr>
              <w:t xml:space="preserve">It appears that a business can begin to sell a novel food following the notification of their dossier to the food regulators/authorities (NSWFA, NZMPI). This could result in retrospective enforcement as the business would not know until after sale as to whether food regulators/authorities have disagreed with the assessment (NZMPI). </w:t>
            </w:r>
          </w:p>
          <w:p w14:paraId="31D32D03" w14:textId="77777777" w:rsidR="005554C7" w:rsidRPr="009D0C23" w:rsidRDefault="005554C7" w:rsidP="00844B97">
            <w:pPr>
              <w:pStyle w:val="FSBullet1"/>
              <w:numPr>
                <w:ilvl w:val="0"/>
                <w:numId w:val="11"/>
              </w:numPr>
              <w:ind w:left="284" w:hanging="284"/>
              <w:rPr>
                <w:rFonts w:eastAsiaTheme="minorHAnsi" w:cstheme="minorBidi"/>
                <w:sz w:val="20"/>
              </w:rPr>
            </w:pPr>
            <w:r w:rsidRPr="009D0C23">
              <w:rPr>
                <w:rFonts w:eastAsiaTheme="minorHAnsi" w:cstheme="minorBidi"/>
                <w:sz w:val="20"/>
              </w:rPr>
              <w:t xml:space="preserve">The </w:t>
            </w:r>
            <w:r w:rsidRPr="009D0C23">
              <w:rPr>
                <w:rFonts w:eastAsiaTheme="minorHAnsi" w:cstheme="minorBidi"/>
                <w:i/>
                <w:sz w:val="20"/>
              </w:rPr>
              <w:t>Ministerial Policy Guideline for the Fortification of Substances Other than Vitamins and Minerals</w:t>
            </w:r>
            <w:r w:rsidRPr="009D0C23">
              <w:rPr>
                <w:rFonts w:eastAsiaTheme="minorHAnsi" w:cstheme="minorBidi"/>
                <w:sz w:val="20"/>
              </w:rPr>
              <w:t xml:space="preserve"> requires that the presence of a fortificant substance should not mislead the consumer as to the nutritional quality of the food. It is unclear how compliance with this policy principle would be achieved without pre-market regulatory scrutiny (NSWFA).</w:t>
            </w:r>
          </w:p>
          <w:p w14:paraId="0D728E08" w14:textId="77777777" w:rsidR="005554C7" w:rsidRPr="00A15CB9" w:rsidRDefault="005554C7" w:rsidP="005554C7">
            <w:pPr>
              <w:widowControl/>
              <w:autoSpaceDE w:val="0"/>
              <w:autoSpaceDN w:val="0"/>
              <w:adjustRightInd w:val="0"/>
              <w:spacing w:before="120"/>
              <w:ind w:left="459"/>
              <w:rPr>
                <w:rFonts w:eastAsiaTheme="minorHAnsi" w:cstheme="minorBidi"/>
                <w:sz w:val="20"/>
                <w:szCs w:val="20"/>
                <w:lang w:bidi="ar-SA"/>
              </w:rPr>
            </w:pPr>
          </w:p>
        </w:tc>
        <w:tc>
          <w:tcPr>
            <w:tcW w:w="2830" w:type="dxa"/>
          </w:tcPr>
          <w:p w14:paraId="7EBF7662" w14:textId="41B3EAB3" w:rsidR="005554C7" w:rsidRPr="00A15CB9" w:rsidRDefault="00302E1F" w:rsidP="005554C7">
            <w:pPr>
              <w:widowControl/>
              <w:autoSpaceDE w:val="0"/>
              <w:autoSpaceDN w:val="0"/>
              <w:adjustRightInd w:val="0"/>
              <w:rPr>
                <w:rFonts w:cs="Arial"/>
                <w:sz w:val="20"/>
                <w:szCs w:val="20"/>
                <w:lang w:eastAsia="en-GB" w:bidi="ar-SA"/>
              </w:rPr>
            </w:pPr>
            <w:r>
              <w:rPr>
                <w:sz w:val="20"/>
                <w:szCs w:val="20"/>
              </w:rPr>
              <w:lastRenderedPageBreak/>
              <w:t>For the reasons outlined in the Consultation Paper, the self-assessment notification pathway has been removed from the modified framework</w:t>
            </w:r>
          </w:p>
        </w:tc>
      </w:tr>
      <w:tr w:rsidR="005554C7" w:rsidRPr="00A15CB9" w14:paraId="33680AFD" w14:textId="77777777" w:rsidTr="00072CC7">
        <w:tc>
          <w:tcPr>
            <w:tcW w:w="2189" w:type="dxa"/>
            <w:shd w:val="clear" w:color="auto" w:fill="auto"/>
          </w:tcPr>
          <w:p w14:paraId="7A1E7890"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 xml:space="preserve">Support for the proportionate approach to risk </w:t>
            </w:r>
          </w:p>
        </w:tc>
        <w:tc>
          <w:tcPr>
            <w:tcW w:w="1202" w:type="dxa"/>
            <w:shd w:val="clear" w:color="auto" w:fill="auto"/>
          </w:tcPr>
          <w:p w14:paraId="7E04294A" w14:textId="77777777" w:rsidR="005554C7" w:rsidRPr="00A15CB9" w:rsidRDefault="005554C7" w:rsidP="005554C7">
            <w:pPr>
              <w:rPr>
                <w:rFonts w:cs="Arial"/>
                <w:sz w:val="20"/>
                <w:szCs w:val="20"/>
              </w:rPr>
            </w:pPr>
            <w:r w:rsidRPr="00A15CB9">
              <w:rPr>
                <w:rFonts w:cs="Arial"/>
                <w:sz w:val="20"/>
                <w:szCs w:val="20"/>
              </w:rPr>
              <w:t>DAA, Fonterra, INC</w:t>
            </w:r>
          </w:p>
        </w:tc>
        <w:tc>
          <w:tcPr>
            <w:tcW w:w="7954" w:type="dxa"/>
            <w:shd w:val="clear" w:color="auto" w:fill="auto"/>
          </w:tcPr>
          <w:p w14:paraId="00B0FB31" w14:textId="77777777" w:rsidR="005554C7" w:rsidRPr="00A15CB9" w:rsidRDefault="005554C7" w:rsidP="005554C7">
            <w:pPr>
              <w:widowControl/>
              <w:autoSpaceDE w:val="0"/>
              <w:autoSpaceDN w:val="0"/>
              <w:adjustRightInd w:val="0"/>
              <w:rPr>
                <w:sz w:val="20"/>
                <w:szCs w:val="22"/>
              </w:rPr>
            </w:pPr>
            <w:r w:rsidRPr="00A15CB9">
              <w:rPr>
                <w:sz w:val="20"/>
                <w:szCs w:val="20"/>
              </w:rPr>
              <w:t xml:space="preserve">Supports the proportionate approach to risk with low risk foods being managed through pre-market self-assessment, pre-market self-assessment with notification and for those food of highest risk requiring pre-market assessment. This is a </w:t>
            </w:r>
            <w:r w:rsidRPr="00A15CB9">
              <w:rPr>
                <w:sz w:val="20"/>
                <w:szCs w:val="22"/>
              </w:rPr>
              <w:t>more efficient approach to managing the market entry of new food substances.</w:t>
            </w:r>
          </w:p>
          <w:p w14:paraId="20A12B4B" w14:textId="77777777" w:rsidR="005554C7" w:rsidRPr="00A15CB9" w:rsidRDefault="005554C7" w:rsidP="005554C7">
            <w:pPr>
              <w:widowControl/>
              <w:autoSpaceDE w:val="0"/>
              <w:autoSpaceDN w:val="0"/>
              <w:adjustRightInd w:val="0"/>
              <w:rPr>
                <w:sz w:val="20"/>
                <w:szCs w:val="20"/>
              </w:rPr>
            </w:pPr>
          </w:p>
        </w:tc>
        <w:tc>
          <w:tcPr>
            <w:tcW w:w="2830" w:type="dxa"/>
          </w:tcPr>
          <w:p w14:paraId="6206A154" w14:textId="58506A21" w:rsidR="005554C7" w:rsidRPr="00A15CB9" w:rsidRDefault="006A5B16" w:rsidP="005554C7">
            <w:pPr>
              <w:widowControl/>
              <w:autoSpaceDE w:val="0"/>
              <w:autoSpaceDN w:val="0"/>
              <w:adjustRightInd w:val="0"/>
              <w:rPr>
                <w:sz w:val="20"/>
                <w:szCs w:val="20"/>
              </w:rPr>
            </w:pPr>
            <w:r>
              <w:rPr>
                <w:sz w:val="20"/>
                <w:szCs w:val="20"/>
              </w:rPr>
              <w:t>See above.</w:t>
            </w:r>
            <w:r w:rsidR="005554C7">
              <w:rPr>
                <w:sz w:val="20"/>
                <w:szCs w:val="20"/>
              </w:rPr>
              <w:t xml:space="preserve"> </w:t>
            </w:r>
          </w:p>
        </w:tc>
      </w:tr>
      <w:tr w:rsidR="005554C7" w:rsidRPr="00A15CB9" w14:paraId="40DF048B" w14:textId="77777777" w:rsidTr="00072CC7">
        <w:tc>
          <w:tcPr>
            <w:tcW w:w="2189" w:type="dxa"/>
            <w:shd w:val="clear" w:color="auto" w:fill="auto"/>
          </w:tcPr>
          <w:p w14:paraId="397A6A9F"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C</w:t>
            </w:r>
            <w:r>
              <w:rPr>
                <w:rFonts w:cs="Arial"/>
                <w:sz w:val="20"/>
                <w:szCs w:val="20"/>
                <w:lang w:eastAsia="en-AU" w:bidi="ar-SA"/>
              </w:rPr>
              <w:t>onditional support</w:t>
            </w:r>
          </w:p>
        </w:tc>
        <w:tc>
          <w:tcPr>
            <w:tcW w:w="1202" w:type="dxa"/>
            <w:shd w:val="clear" w:color="auto" w:fill="auto"/>
          </w:tcPr>
          <w:p w14:paraId="28592004" w14:textId="77777777" w:rsidR="005554C7" w:rsidRPr="00A15CB9" w:rsidRDefault="005554C7" w:rsidP="005554C7">
            <w:pPr>
              <w:ind w:left="113" w:hanging="113"/>
              <w:rPr>
                <w:rFonts w:cs="Arial"/>
                <w:sz w:val="20"/>
                <w:szCs w:val="20"/>
              </w:rPr>
            </w:pPr>
            <w:r w:rsidRPr="00A15CB9">
              <w:rPr>
                <w:rFonts w:cs="Arial"/>
                <w:sz w:val="20"/>
                <w:szCs w:val="20"/>
              </w:rPr>
              <w:t>ABC</w:t>
            </w:r>
          </w:p>
        </w:tc>
        <w:tc>
          <w:tcPr>
            <w:tcW w:w="7954" w:type="dxa"/>
            <w:shd w:val="clear" w:color="auto" w:fill="auto"/>
          </w:tcPr>
          <w:p w14:paraId="304DDB5E" w14:textId="77777777" w:rsidR="005554C7" w:rsidRDefault="005554C7" w:rsidP="005554C7">
            <w:pPr>
              <w:widowControl/>
              <w:autoSpaceDE w:val="0"/>
              <w:autoSpaceDN w:val="0"/>
              <w:adjustRightInd w:val="0"/>
              <w:rPr>
                <w:sz w:val="20"/>
                <w:szCs w:val="20"/>
              </w:rPr>
            </w:pPr>
            <w:r>
              <w:rPr>
                <w:sz w:val="20"/>
                <w:szCs w:val="20"/>
              </w:rPr>
              <w:t xml:space="preserve">Conditional support for option 3, acknowledging that further details are required to determine viability. </w:t>
            </w:r>
            <w:r w:rsidR="00D60E7A">
              <w:rPr>
                <w:sz w:val="20"/>
                <w:szCs w:val="20"/>
              </w:rPr>
              <w:t xml:space="preserve">The current </w:t>
            </w:r>
            <w:r w:rsidRPr="00A15CB9">
              <w:rPr>
                <w:sz w:val="20"/>
                <w:szCs w:val="20"/>
              </w:rPr>
              <w:t>FSANZ Application and evaluation protocol can be the cause of global hesitance to enter into Australia or attempt</w:t>
            </w:r>
            <w:r w:rsidR="00D60E7A">
              <w:rPr>
                <w:sz w:val="20"/>
                <w:szCs w:val="20"/>
              </w:rPr>
              <w:t>s</w:t>
            </w:r>
            <w:r w:rsidRPr="00A15CB9">
              <w:rPr>
                <w:sz w:val="20"/>
                <w:szCs w:val="20"/>
              </w:rPr>
              <w:t xml:space="preserve"> </w:t>
            </w:r>
            <w:r w:rsidR="00D60E7A">
              <w:rPr>
                <w:sz w:val="20"/>
                <w:szCs w:val="20"/>
              </w:rPr>
              <w:t xml:space="preserve">to bypass the regulatory requirements. </w:t>
            </w:r>
            <w:r w:rsidRPr="00A15CB9">
              <w:rPr>
                <w:sz w:val="20"/>
                <w:szCs w:val="20"/>
              </w:rPr>
              <w:t>Option 3 shows great insight into the NPD / innovation process in the modern food and beverage industry and can address these issues.</w:t>
            </w:r>
          </w:p>
          <w:p w14:paraId="48AF9588" w14:textId="28531DFE" w:rsidR="00D60E7A" w:rsidRPr="00A15CB9" w:rsidRDefault="00D60E7A" w:rsidP="005554C7">
            <w:pPr>
              <w:widowControl/>
              <w:autoSpaceDE w:val="0"/>
              <w:autoSpaceDN w:val="0"/>
              <w:adjustRightInd w:val="0"/>
              <w:rPr>
                <w:sz w:val="20"/>
                <w:szCs w:val="20"/>
              </w:rPr>
            </w:pPr>
          </w:p>
        </w:tc>
        <w:tc>
          <w:tcPr>
            <w:tcW w:w="2830" w:type="dxa"/>
          </w:tcPr>
          <w:p w14:paraId="13084F83" w14:textId="53BE3A6A" w:rsidR="005554C7" w:rsidRPr="00A15CB9" w:rsidRDefault="005554C7" w:rsidP="005554C7">
            <w:pPr>
              <w:widowControl/>
              <w:autoSpaceDE w:val="0"/>
              <w:autoSpaceDN w:val="0"/>
              <w:adjustRightInd w:val="0"/>
              <w:rPr>
                <w:sz w:val="20"/>
                <w:szCs w:val="20"/>
              </w:rPr>
            </w:pPr>
            <w:r>
              <w:rPr>
                <w:sz w:val="20"/>
                <w:szCs w:val="20"/>
              </w:rPr>
              <w:t>Noted</w:t>
            </w:r>
            <w:r w:rsidR="00F778DA">
              <w:rPr>
                <w:sz w:val="20"/>
                <w:szCs w:val="20"/>
              </w:rPr>
              <w:t>.</w:t>
            </w:r>
          </w:p>
        </w:tc>
      </w:tr>
      <w:tr w:rsidR="005554C7" w:rsidRPr="00A15CB9" w14:paraId="08A7FE5D" w14:textId="77777777" w:rsidTr="00072CC7">
        <w:tc>
          <w:tcPr>
            <w:tcW w:w="14175" w:type="dxa"/>
            <w:gridSpan w:val="4"/>
            <w:shd w:val="clear" w:color="auto" w:fill="EAF1DD" w:themeFill="accent3" w:themeFillTint="33"/>
          </w:tcPr>
          <w:p w14:paraId="46BE2BED" w14:textId="77777777" w:rsidR="005554C7" w:rsidRPr="00A15CB9" w:rsidRDefault="005554C7" w:rsidP="000B462A">
            <w:pPr>
              <w:spacing w:before="60" w:after="60"/>
              <w:jc w:val="center"/>
              <w:rPr>
                <w:rFonts w:cs="Arial"/>
                <w:b/>
                <w:sz w:val="20"/>
                <w:szCs w:val="20"/>
                <w:lang w:eastAsia="en-AU" w:bidi="ar-SA"/>
              </w:rPr>
            </w:pPr>
            <w:r w:rsidRPr="00A15CB9">
              <w:rPr>
                <w:rFonts w:cs="Arial"/>
                <w:b/>
                <w:sz w:val="20"/>
                <w:szCs w:val="20"/>
                <w:lang w:eastAsia="en-AU" w:bidi="ar-SA"/>
              </w:rPr>
              <w:t>Alternative Regulatory Options</w:t>
            </w:r>
          </w:p>
        </w:tc>
      </w:tr>
      <w:tr w:rsidR="005554C7" w:rsidRPr="00A15CB9" w14:paraId="19C23424" w14:textId="77777777" w:rsidTr="00072CC7">
        <w:tc>
          <w:tcPr>
            <w:tcW w:w="2189" w:type="dxa"/>
            <w:vMerge w:val="restart"/>
            <w:shd w:val="clear" w:color="auto" w:fill="auto"/>
          </w:tcPr>
          <w:p w14:paraId="2FD5F267"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t>Options that involve centralising assessment processes</w:t>
            </w:r>
          </w:p>
          <w:p w14:paraId="3DC1313C" w14:textId="77777777" w:rsidR="005554C7" w:rsidRPr="00A15CB9" w:rsidRDefault="005554C7" w:rsidP="005554C7">
            <w:pPr>
              <w:rPr>
                <w:rFonts w:cs="Arial"/>
                <w:sz w:val="20"/>
                <w:szCs w:val="20"/>
                <w:lang w:eastAsia="en-AU" w:bidi="ar-SA"/>
              </w:rPr>
            </w:pPr>
          </w:p>
        </w:tc>
        <w:tc>
          <w:tcPr>
            <w:tcW w:w="1202" w:type="dxa"/>
            <w:shd w:val="clear" w:color="auto" w:fill="auto"/>
          </w:tcPr>
          <w:p w14:paraId="378AA024" w14:textId="77777777" w:rsidR="005554C7" w:rsidRPr="00A15CB9" w:rsidRDefault="005554C7" w:rsidP="005554C7">
            <w:pPr>
              <w:ind w:left="113" w:hanging="113"/>
              <w:rPr>
                <w:rFonts w:cs="Arial"/>
                <w:sz w:val="20"/>
                <w:szCs w:val="20"/>
              </w:rPr>
            </w:pPr>
            <w:r w:rsidRPr="00A15CB9">
              <w:rPr>
                <w:rFonts w:cs="Arial"/>
                <w:sz w:val="20"/>
                <w:szCs w:val="20"/>
              </w:rPr>
              <w:t>Vic Govt</w:t>
            </w:r>
            <w:r>
              <w:rPr>
                <w:rFonts w:cs="Arial"/>
                <w:sz w:val="20"/>
                <w:szCs w:val="20"/>
              </w:rPr>
              <w:t>, MPI</w:t>
            </w:r>
          </w:p>
        </w:tc>
        <w:tc>
          <w:tcPr>
            <w:tcW w:w="7954" w:type="dxa"/>
            <w:shd w:val="clear" w:color="auto" w:fill="auto"/>
          </w:tcPr>
          <w:p w14:paraId="5C2E5AA5" w14:textId="12AEA60E" w:rsidR="005554C7"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Vic Govt and NZMPI proposed similar approaches to replace the industry self-assessment with a streamlined (rapid) application process for foods that meet the EFC. This process would be centralised and conducted by FSANZ (NZMPI suggested that this could instead be a FSANZ-led committee).</w:t>
            </w:r>
          </w:p>
          <w:p w14:paraId="51251637" w14:textId="77777777" w:rsidR="00844B97" w:rsidRPr="00A15CB9" w:rsidRDefault="00844B97" w:rsidP="005554C7">
            <w:pPr>
              <w:widowControl/>
              <w:autoSpaceDE w:val="0"/>
              <w:autoSpaceDN w:val="0"/>
              <w:adjustRightInd w:val="0"/>
              <w:rPr>
                <w:rFonts w:cs="Arial"/>
                <w:sz w:val="20"/>
                <w:szCs w:val="20"/>
                <w:lang w:eastAsia="en-GB" w:bidi="ar-SA"/>
              </w:rPr>
            </w:pPr>
          </w:p>
          <w:p w14:paraId="79585669" w14:textId="77777777" w:rsidR="005554C7" w:rsidRPr="009D0C23" w:rsidRDefault="005554C7" w:rsidP="00844B97">
            <w:pPr>
              <w:pStyle w:val="FSBullet1"/>
              <w:numPr>
                <w:ilvl w:val="0"/>
                <w:numId w:val="11"/>
              </w:numPr>
              <w:ind w:left="284" w:hanging="284"/>
              <w:rPr>
                <w:rFonts w:eastAsiaTheme="minorHAnsi"/>
                <w:sz w:val="20"/>
                <w:lang w:eastAsia="en-GB"/>
              </w:rPr>
            </w:pPr>
            <w:r w:rsidRPr="009D0C23">
              <w:rPr>
                <w:rFonts w:eastAsiaTheme="minorHAnsi"/>
                <w:sz w:val="20"/>
                <w:lang w:eastAsia="en-GB"/>
              </w:rPr>
              <w:t xml:space="preserve">The FSANZ Act and the FSANZ </w:t>
            </w:r>
            <w:r w:rsidRPr="00844B97">
              <w:rPr>
                <w:rFonts w:eastAsiaTheme="minorHAnsi"/>
                <w:i/>
                <w:sz w:val="20"/>
                <w:lang w:eastAsia="en-GB"/>
              </w:rPr>
              <w:t>Application Handbook</w:t>
            </w:r>
            <w:r w:rsidRPr="009D0C23">
              <w:rPr>
                <w:rFonts w:eastAsiaTheme="minorHAnsi"/>
                <w:sz w:val="20"/>
                <w:lang w:eastAsia="en-GB"/>
              </w:rPr>
              <w:t xml:space="preserve"> would need to be amended so that FSANZ can assess eligible food criteria conformance and dossiers (NZMPI, Vic Govt).</w:t>
            </w:r>
          </w:p>
          <w:p w14:paraId="4CF7FE9E" w14:textId="77777777" w:rsidR="005554C7" w:rsidRPr="009D0C23" w:rsidRDefault="005554C7" w:rsidP="00844B97">
            <w:pPr>
              <w:pStyle w:val="FSBullet1"/>
              <w:numPr>
                <w:ilvl w:val="0"/>
                <w:numId w:val="11"/>
              </w:numPr>
              <w:ind w:left="284" w:hanging="284"/>
              <w:rPr>
                <w:rFonts w:eastAsiaTheme="minorHAnsi"/>
                <w:sz w:val="20"/>
                <w:lang w:eastAsia="en-GB"/>
              </w:rPr>
            </w:pPr>
            <w:r w:rsidRPr="009D0C23">
              <w:rPr>
                <w:rFonts w:eastAsiaTheme="minorHAnsi"/>
                <w:sz w:val="20"/>
                <w:lang w:eastAsia="en-GB"/>
              </w:rPr>
              <w:lastRenderedPageBreak/>
              <w:t>International assessments of the novel food could be used for fast tracking, as FSANZ would be able to assess the validity of these assessments (Vic Govt).</w:t>
            </w:r>
          </w:p>
          <w:p w14:paraId="60EFD2A1" w14:textId="77777777" w:rsidR="005554C7" w:rsidRPr="009D0C23" w:rsidRDefault="005554C7" w:rsidP="00844B97">
            <w:pPr>
              <w:pStyle w:val="FSBullet1"/>
              <w:numPr>
                <w:ilvl w:val="0"/>
                <w:numId w:val="11"/>
              </w:numPr>
              <w:ind w:left="284" w:hanging="284"/>
              <w:rPr>
                <w:rFonts w:eastAsiaTheme="minorHAnsi"/>
                <w:sz w:val="20"/>
                <w:lang w:eastAsia="en-GB"/>
              </w:rPr>
            </w:pPr>
            <w:r w:rsidRPr="009D0C23">
              <w:rPr>
                <w:rFonts w:eastAsiaTheme="minorHAnsi" w:cstheme="minorBidi"/>
                <w:sz w:val="20"/>
              </w:rPr>
              <w:t>A centralised assessment process would require increased resources within FSANZ, and thus additional new funding (NZMPI).</w:t>
            </w:r>
          </w:p>
          <w:p w14:paraId="6B706585" w14:textId="77777777" w:rsidR="005554C7" w:rsidRPr="00A15CB9" w:rsidRDefault="005554C7" w:rsidP="00844B97">
            <w:pPr>
              <w:pStyle w:val="FSBullet1"/>
              <w:numPr>
                <w:ilvl w:val="0"/>
                <w:numId w:val="11"/>
              </w:numPr>
              <w:ind w:left="284" w:hanging="284"/>
              <w:rPr>
                <w:rFonts w:eastAsiaTheme="minorHAnsi"/>
                <w:sz w:val="20"/>
                <w:lang w:eastAsia="en-GB"/>
              </w:rPr>
            </w:pPr>
            <w:r w:rsidRPr="009D0C23">
              <w:rPr>
                <w:rFonts w:eastAsiaTheme="minorHAnsi" w:cstheme="minorBidi"/>
                <w:sz w:val="20"/>
              </w:rPr>
              <w:t>The assessment could be restricted to a specified period of time (for example 30 days), after which the dossiers must be publicised and the product should be able to be sold on the market. There may not be a need for public consultation with this approach (NZMPI).</w:t>
            </w:r>
          </w:p>
          <w:p w14:paraId="51F382E5" w14:textId="77777777" w:rsidR="005554C7" w:rsidRPr="009D0C23" w:rsidRDefault="005554C7" w:rsidP="005554C7">
            <w:pPr>
              <w:rPr>
                <w:rFonts w:eastAsiaTheme="minorHAnsi"/>
                <w:lang w:bidi="ar-SA"/>
              </w:rPr>
            </w:pPr>
          </w:p>
          <w:p w14:paraId="6C5A0F5E" w14:textId="77777777" w:rsidR="005554C7"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The reasons provided for this alternative approach were that it would ensure national consistency in the assessment of information and dossiers (Vic Govt), and that FSANZ is the only organisation with the level of technical knowledge and understanding of the food regulatory system to be able to undertake the work (NZMPI, Vic Govt).</w:t>
            </w:r>
          </w:p>
          <w:p w14:paraId="1B0DDAF1" w14:textId="17B25AB0" w:rsidR="007B78F5" w:rsidRPr="00A15CB9" w:rsidRDefault="007B78F5" w:rsidP="005554C7">
            <w:pPr>
              <w:widowControl/>
              <w:autoSpaceDE w:val="0"/>
              <w:autoSpaceDN w:val="0"/>
              <w:adjustRightInd w:val="0"/>
              <w:rPr>
                <w:rFonts w:cs="Arial"/>
                <w:sz w:val="20"/>
                <w:szCs w:val="20"/>
                <w:lang w:eastAsia="en-GB" w:bidi="ar-SA"/>
              </w:rPr>
            </w:pPr>
          </w:p>
        </w:tc>
        <w:tc>
          <w:tcPr>
            <w:tcW w:w="2830" w:type="dxa"/>
          </w:tcPr>
          <w:p w14:paraId="7D94FDA1" w14:textId="7E10D54E" w:rsidR="005554C7" w:rsidRDefault="00302E1F" w:rsidP="005554C7">
            <w:pPr>
              <w:widowControl/>
              <w:autoSpaceDE w:val="0"/>
              <w:autoSpaceDN w:val="0"/>
              <w:adjustRightInd w:val="0"/>
              <w:rPr>
                <w:rFonts w:cs="Arial"/>
                <w:sz w:val="20"/>
                <w:szCs w:val="20"/>
                <w:lang w:eastAsia="en-GB" w:bidi="ar-SA"/>
              </w:rPr>
            </w:pPr>
            <w:r>
              <w:rPr>
                <w:rFonts w:cs="Arial"/>
                <w:sz w:val="20"/>
                <w:szCs w:val="20"/>
                <w:lang w:eastAsia="en-GB" w:bidi="ar-SA"/>
              </w:rPr>
              <w:lastRenderedPageBreak/>
              <w:t>A</w:t>
            </w:r>
            <w:r w:rsidR="00D61C57">
              <w:rPr>
                <w:rFonts w:cs="Arial"/>
                <w:sz w:val="20"/>
                <w:szCs w:val="20"/>
                <w:lang w:eastAsia="en-GB" w:bidi="ar-SA"/>
              </w:rPr>
              <w:t>mendment</w:t>
            </w:r>
            <w:r>
              <w:rPr>
                <w:rFonts w:cs="Arial"/>
                <w:sz w:val="20"/>
                <w:szCs w:val="20"/>
                <w:lang w:eastAsia="en-GB" w:bidi="ar-SA"/>
              </w:rPr>
              <w:t xml:space="preserve"> of the FSANZ Act and other legislation remain matters for Government and </w:t>
            </w:r>
            <w:r w:rsidR="00D61C57">
              <w:rPr>
                <w:rFonts w:cs="Arial"/>
                <w:sz w:val="20"/>
                <w:szCs w:val="20"/>
                <w:lang w:eastAsia="en-GB" w:bidi="ar-SA"/>
              </w:rPr>
              <w:t xml:space="preserve">are </w:t>
            </w:r>
            <w:r>
              <w:rPr>
                <w:rFonts w:cs="Arial"/>
                <w:sz w:val="20"/>
                <w:szCs w:val="20"/>
                <w:lang w:eastAsia="en-GB" w:bidi="ar-SA"/>
              </w:rPr>
              <w:t>out of scope for P1024</w:t>
            </w:r>
            <w:r w:rsidR="006A5B16">
              <w:rPr>
                <w:rFonts w:cs="Arial"/>
                <w:sz w:val="20"/>
                <w:szCs w:val="20"/>
                <w:lang w:eastAsia="en-GB" w:bidi="ar-SA"/>
              </w:rPr>
              <w:t xml:space="preserve"> (section 2.2 of the consultation paper). </w:t>
            </w:r>
          </w:p>
          <w:p w14:paraId="57D2FE86" w14:textId="636C454C" w:rsidR="005554C7" w:rsidRDefault="005554C7" w:rsidP="005554C7">
            <w:pPr>
              <w:widowControl/>
              <w:autoSpaceDE w:val="0"/>
              <w:autoSpaceDN w:val="0"/>
              <w:adjustRightInd w:val="0"/>
              <w:rPr>
                <w:rFonts w:cs="Arial"/>
                <w:sz w:val="20"/>
                <w:szCs w:val="20"/>
                <w:lang w:eastAsia="en-GB" w:bidi="ar-SA"/>
              </w:rPr>
            </w:pPr>
          </w:p>
          <w:p w14:paraId="4BAB4F59" w14:textId="77777777" w:rsidR="00844B97" w:rsidRDefault="00844B97" w:rsidP="005554C7">
            <w:pPr>
              <w:widowControl/>
              <w:autoSpaceDE w:val="0"/>
              <w:autoSpaceDN w:val="0"/>
              <w:adjustRightInd w:val="0"/>
              <w:rPr>
                <w:rFonts w:cs="Arial"/>
                <w:sz w:val="20"/>
                <w:szCs w:val="20"/>
                <w:lang w:eastAsia="en-GB" w:bidi="ar-SA"/>
              </w:rPr>
            </w:pPr>
          </w:p>
          <w:p w14:paraId="547B503E" w14:textId="0DAC2734" w:rsidR="005554C7" w:rsidRPr="00A15CB9" w:rsidRDefault="00393EFE" w:rsidP="00231BCA">
            <w:pPr>
              <w:widowControl/>
              <w:autoSpaceDE w:val="0"/>
              <w:autoSpaceDN w:val="0"/>
              <w:adjustRightInd w:val="0"/>
              <w:rPr>
                <w:rFonts w:cs="Arial"/>
                <w:sz w:val="20"/>
                <w:szCs w:val="20"/>
                <w:lang w:eastAsia="en-GB" w:bidi="ar-SA"/>
              </w:rPr>
            </w:pPr>
            <w:r>
              <w:rPr>
                <w:rFonts w:cs="Arial"/>
                <w:sz w:val="20"/>
                <w:szCs w:val="20"/>
                <w:lang w:eastAsia="en-GB" w:bidi="ar-SA"/>
              </w:rPr>
              <w:lastRenderedPageBreak/>
              <w:t>C</w:t>
            </w:r>
            <w:r w:rsidR="006A5B16">
              <w:rPr>
                <w:rFonts w:cs="Arial"/>
                <w:sz w:val="20"/>
                <w:szCs w:val="20"/>
                <w:lang w:eastAsia="en-GB" w:bidi="ar-SA"/>
              </w:rPr>
              <w:t xml:space="preserve">onsideration </w:t>
            </w:r>
            <w:r>
              <w:rPr>
                <w:rFonts w:cs="Arial"/>
                <w:sz w:val="20"/>
                <w:szCs w:val="20"/>
                <w:lang w:eastAsia="en-GB" w:bidi="ar-SA"/>
              </w:rPr>
              <w:t>of</w:t>
            </w:r>
            <w:r w:rsidR="005554C7">
              <w:rPr>
                <w:rFonts w:cs="Arial"/>
                <w:sz w:val="20"/>
                <w:szCs w:val="20"/>
                <w:lang w:eastAsia="en-GB" w:bidi="ar-SA"/>
              </w:rPr>
              <w:t xml:space="preserve"> </w:t>
            </w:r>
            <w:r w:rsidR="00F778DA">
              <w:rPr>
                <w:rFonts w:cs="Arial"/>
                <w:sz w:val="20"/>
                <w:szCs w:val="20"/>
                <w:lang w:eastAsia="en-GB" w:bidi="ar-SA"/>
              </w:rPr>
              <w:t>the issue of</w:t>
            </w:r>
            <w:r w:rsidR="005554C7">
              <w:rPr>
                <w:rFonts w:cs="Arial"/>
                <w:sz w:val="20"/>
                <w:szCs w:val="20"/>
                <w:lang w:eastAsia="en-GB" w:bidi="ar-SA"/>
              </w:rPr>
              <w:t xml:space="preserve"> overseas assessments </w:t>
            </w:r>
            <w:r w:rsidR="006A5B16">
              <w:rPr>
                <w:rFonts w:cs="Arial"/>
                <w:sz w:val="20"/>
                <w:szCs w:val="20"/>
                <w:lang w:eastAsia="en-GB" w:bidi="ar-SA"/>
              </w:rPr>
              <w:t xml:space="preserve">and approvals </w:t>
            </w:r>
            <w:r>
              <w:rPr>
                <w:rFonts w:cs="Arial"/>
                <w:sz w:val="20"/>
                <w:szCs w:val="20"/>
                <w:lang w:eastAsia="en-GB" w:bidi="ar-SA"/>
              </w:rPr>
              <w:t xml:space="preserve">will be dealt with in </w:t>
            </w:r>
            <w:r w:rsidR="00844B97">
              <w:rPr>
                <w:rFonts w:cs="Arial"/>
                <w:sz w:val="20"/>
                <w:szCs w:val="20"/>
                <w:lang w:eastAsia="en-GB" w:bidi="ar-SA"/>
              </w:rPr>
              <w:t>the next stage of the P</w:t>
            </w:r>
            <w:r w:rsidR="00231BCA">
              <w:rPr>
                <w:rFonts w:cs="Arial"/>
                <w:sz w:val="20"/>
                <w:szCs w:val="20"/>
                <w:lang w:eastAsia="en-GB" w:bidi="ar-SA"/>
              </w:rPr>
              <w:t>roposal.</w:t>
            </w:r>
          </w:p>
        </w:tc>
      </w:tr>
      <w:tr w:rsidR="005554C7" w:rsidRPr="00A15CB9" w14:paraId="6A50C4B9" w14:textId="77777777" w:rsidTr="00072CC7">
        <w:tc>
          <w:tcPr>
            <w:tcW w:w="2189" w:type="dxa"/>
            <w:vMerge/>
            <w:shd w:val="clear" w:color="auto" w:fill="auto"/>
          </w:tcPr>
          <w:p w14:paraId="4A5705D8" w14:textId="77777777" w:rsidR="005554C7" w:rsidRPr="00A15CB9" w:rsidRDefault="005554C7" w:rsidP="005554C7">
            <w:pPr>
              <w:rPr>
                <w:rFonts w:cs="Arial"/>
                <w:sz w:val="20"/>
                <w:szCs w:val="20"/>
                <w:lang w:eastAsia="en-AU" w:bidi="ar-SA"/>
              </w:rPr>
            </w:pPr>
          </w:p>
        </w:tc>
        <w:tc>
          <w:tcPr>
            <w:tcW w:w="1202" w:type="dxa"/>
            <w:shd w:val="clear" w:color="auto" w:fill="auto"/>
          </w:tcPr>
          <w:p w14:paraId="0788153A" w14:textId="77777777" w:rsidR="005554C7" w:rsidRPr="00A15CB9" w:rsidRDefault="005554C7" w:rsidP="005554C7">
            <w:pPr>
              <w:ind w:left="113" w:hanging="113"/>
              <w:rPr>
                <w:rFonts w:cs="Arial"/>
                <w:sz w:val="20"/>
                <w:szCs w:val="20"/>
              </w:rPr>
            </w:pPr>
            <w:r w:rsidRPr="00A15CB9">
              <w:rPr>
                <w:rFonts w:cs="Arial"/>
                <w:sz w:val="20"/>
                <w:szCs w:val="20"/>
              </w:rPr>
              <w:t>Vic Govt</w:t>
            </w:r>
          </w:p>
        </w:tc>
        <w:tc>
          <w:tcPr>
            <w:tcW w:w="7954" w:type="dxa"/>
            <w:shd w:val="clear" w:color="auto" w:fill="auto"/>
          </w:tcPr>
          <w:p w14:paraId="0AA2F8D0" w14:textId="249CE40D" w:rsidR="005554C7" w:rsidRDefault="005554C7" w:rsidP="005554C7">
            <w:pPr>
              <w:widowControl/>
              <w:autoSpaceDE w:val="0"/>
              <w:autoSpaceDN w:val="0"/>
              <w:adjustRightInd w:val="0"/>
              <w:rPr>
                <w:rFonts w:cs="Arial"/>
                <w:sz w:val="20"/>
                <w:szCs w:val="20"/>
                <w:lang w:eastAsia="en-GB" w:bidi="ar-SA"/>
              </w:rPr>
            </w:pPr>
            <w:r w:rsidRPr="00A15CB9">
              <w:rPr>
                <w:rFonts w:cs="Arial"/>
                <w:sz w:val="20"/>
                <w:szCs w:val="20"/>
                <w:lang w:eastAsia="en-GB" w:bidi="ar-SA"/>
              </w:rPr>
              <w:t>Vic Govt suggested another centralised option, based on a tiered application process.</w:t>
            </w:r>
          </w:p>
          <w:p w14:paraId="31E57BB3" w14:textId="77777777" w:rsidR="00844B97" w:rsidRPr="00A15CB9" w:rsidRDefault="00844B97" w:rsidP="005554C7">
            <w:pPr>
              <w:widowControl/>
              <w:autoSpaceDE w:val="0"/>
              <w:autoSpaceDN w:val="0"/>
              <w:adjustRightInd w:val="0"/>
              <w:rPr>
                <w:rFonts w:cs="Arial"/>
                <w:sz w:val="20"/>
                <w:szCs w:val="20"/>
                <w:lang w:eastAsia="en-GB" w:bidi="ar-SA"/>
              </w:rPr>
            </w:pPr>
          </w:p>
          <w:p w14:paraId="292FF385" w14:textId="77777777" w:rsidR="005554C7" w:rsidRPr="00A15CB9" w:rsidRDefault="005554C7" w:rsidP="00844B97">
            <w:pPr>
              <w:widowControl/>
              <w:numPr>
                <w:ilvl w:val="0"/>
                <w:numId w:val="4"/>
              </w:numPr>
              <w:autoSpaceDE w:val="0"/>
              <w:autoSpaceDN w:val="0"/>
              <w:adjustRightInd w:val="0"/>
              <w:ind w:left="284" w:hanging="284"/>
              <w:rPr>
                <w:rFonts w:eastAsiaTheme="minorHAnsi" w:cs="Arial"/>
                <w:sz w:val="20"/>
                <w:szCs w:val="20"/>
                <w:lang w:eastAsia="en-GB" w:bidi="ar-SA"/>
              </w:rPr>
            </w:pPr>
            <w:r w:rsidRPr="00A15CB9">
              <w:rPr>
                <w:rFonts w:eastAsiaTheme="minorHAnsi" w:cs="Arial"/>
                <w:sz w:val="20"/>
                <w:szCs w:val="20"/>
                <w:lang w:eastAsia="en-GB" w:bidi="ar-SA"/>
              </w:rPr>
              <w:t>Fast track assessment carried out by a group similar to the FSANZ Advisory Committee on Novel Foods (ACNF) comprising FSANZ officers. The assessment would use technical information on the food</w:t>
            </w:r>
            <w:r>
              <w:rPr>
                <w:rFonts w:eastAsiaTheme="minorHAnsi" w:cs="Arial"/>
                <w:sz w:val="20"/>
                <w:szCs w:val="20"/>
                <w:lang w:eastAsia="en-GB" w:bidi="ar-SA"/>
              </w:rPr>
              <w:t xml:space="preserve"> (for compliance with EFC)</w:t>
            </w:r>
            <w:r w:rsidRPr="00A15CB9">
              <w:rPr>
                <w:rFonts w:eastAsiaTheme="minorHAnsi" w:cs="Arial"/>
                <w:sz w:val="20"/>
                <w:szCs w:val="20"/>
                <w:lang w:eastAsia="en-GB" w:bidi="ar-SA"/>
              </w:rPr>
              <w:t>; assess whether claims made about a safe history of use could be substantiated, or whether recognised international agencies had already assessed the safety of that specific product.</w:t>
            </w:r>
            <w:r>
              <w:rPr>
                <w:rFonts w:eastAsiaTheme="minorHAnsi" w:cs="Arial"/>
                <w:sz w:val="20"/>
                <w:szCs w:val="20"/>
                <w:lang w:eastAsia="en-GB" w:bidi="ar-SA"/>
              </w:rPr>
              <w:t xml:space="preserve"> FSANZ would decide whether a dietary exposure assessment is required based on overseas information on safety (if available).</w:t>
            </w:r>
          </w:p>
          <w:p w14:paraId="2F9DF262" w14:textId="77777777" w:rsidR="005554C7" w:rsidRPr="00A15CB9" w:rsidRDefault="005554C7" w:rsidP="00844B97">
            <w:pPr>
              <w:widowControl/>
              <w:numPr>
                <w:ilvl w:val="0"/>
                <w:numId w:val="4"/>
              </w:numPr>
              <w:autoSpaceDE w:val="0"/>
              <w:autoSpaceDN w:val="0"/>
              <w:adjustRightInd w:val="0"/>
              <w:ind w:left="284" w:hanging="284"/>
              <w:rPr>
                <w:rFonts w:eastAsiaTheme="minorHAnsi" w:cs="Arial"/>
                <w:sz w:val="20"/>
                <w:szCs w:val="20"/>
                <w:lang w:eastAsia="en-GB" w:bidi="ar-SA"/>
              </w:rPr>
            </w:pPr>
            <w:r>
              <w:rPr>
                <w:rFonts w:eastAsiaTheme="minorHAnsi" w:cs="Arial"/>
                <w:sz w:val="20"/>
                <w:szCs w:val="20"/>
                <w:lang w:eastAsia="en-GB" w:bidi="ar-SA"/>
              </w:rPr>
              <w:t>FSANZ makes decision on whether a full pre-market approval by FSANZ is required based on analysis of the information above and gateway tests</w:t>
            </w:r>
            <w:r w:rsidRPr="00A15CB9">
              <w:rPr>
                <w:rFonts w:eastAsiaTheme="minorHAnsi" w:cs="Arial"/>
                <w:sz w:val="20"/>
                <w:szCs w:val="20"/>
                <w:lang w:eastAsia="en-GB" w:bidi="ar-SA"/>
              </w:rPr>
              <w:t>.</w:t>
            </w:r>
          </w:p>
          <w:p w14:paraId="596874DD" w14:textId="4B8A60B5" w:rsidR="005554C7" w:rsidRDefault="005554C7" w:rsidP="00844B97">
            <w:pPr>
              <w:widowControl/>
              <w:numPr>
                <w:ilvl w:val="0"/>
                <w:numId w:val="4"/>
              </w:numPr>
              <w:autoSpaceDE w:val="0"/>
              <w:autoSpaceDN w:val="0"/>
              <w:adjustRightInd w:val="0"/>
              <w:ind w:left="284" w:hanging="284"/>
              <w:rPr>
                <w:rFonts w:eastAsiaTheme="minorHAnsi" w:cs="Arial"/>
                <w:sz w:val="20"/>
                <w:szCs w:val="20"/>
                <w:lang w:eastAsia="en-GB" w:bidi="ar-SA"/>
              </w:rPr>
            </w:pPr>
            <w:r>
              <w:rPr>
                <w:rFonts w:eastAsiaTheme="minorHAnsi" w:cs="Arial"/>
                <w:sz w:val="20"/>
                <w:szCs w:val="20"/>
                <w:lang w:eastAsia="en-GB" w:bidi="ar-SA"/>
              </w:rPr>
              <w:t>These g</w:t>
            </w:r>
            <w:r w:rsidRPr="00A15CB9">
              <w:rPr>
                <w:rFonts w:eastAsiaTheme="minorHAnsi" w:cs="Arial"/>
                <w:sz w:val="20"/>
                <w:szCs w:val="20"/>
                <w:lang w:eastAsia="en-GB" w:bidi="ar-SA"/>
              </w:rPr>
              <w:t xml:space="preserve">ateway tests </w:t>
            </w:r>
            <w:r>
              <w:rPr>
                <w:rFonts w:eastAsiaTheme="minorHAnsi" w:cs="Arial"/>
                <w:sz w:val="20"/>
                <w:szCs w:val="20"/>
                <w:lang w:eastAsia="en-GB" w:bidi="ar-SA"/>
              </w:rPr>
              <w:t>include an assessment of</w:t>
            </w:r>
            <w:r w:rsidRPr="00A15CB9">
              <w:rPr>
                <w:rFonts w:eastAsiaTheme="minorHAnsi" w:cs="Arial"/>
                <w:sz w:val="20"/>
                <w:szCs w:val="20"/>
                <w:lang w:eastAsia="en-GB" w:bidi="ar-SA"/>
              </w:rPr>
              <w:t>:</w:t>
            </w:r>
          </w:p>
          <w:p w14:paraId="16ACDBEB" w14:textId="77777777" w:rsidR="00844B97" w:rsidRPr="00A15CB9" w:rsidRDefault="00844B97" w:rsidP="00844B97">
            <w:pPr>
              <w:widowControl/>
              <w:autoSpaceDE w:val="0"/>
              <w:autoSpaceDN w:val="0"/>
              <w:adjustRightInd w:val="0"/>
              <w:ind w:left="284"/>
              <w:rPr>
                <w:rFonts w:eastAsiaTheme="minorHAnsi" w:cs="Arial"/>
                <w:sz w:val="20"/>
                <w:szCs w:val="20"/>
                <w:lang w:eastAsia="en-GB" w:bidi="ar-SA"/>
              </w:rPr>
            </w:pPr>
          </w:p>
          <w:p w14:paraId="17582545" w14:textId="77777777" w:rsidR="005554C7" w:rsidRPr="00A15CB9" w:rsidRDefault="005554C7" w:rsidP="00844B97">
            <w:pPr>
              <w:widowControl/>
              <w:numPr>
                <w:ilvl w:val="0"/>
                <w:numId w:val="5"/>
              </w:numPr>
              <w:autoSpaceDE w:val="0"/>
              <w:autoSpaceDN w:val="0"/>
              <w:adjustRightInd w:val="0"/>
              <w:ind w:left="568" w:hanging="284"/>
              <w:contextualSpacing/>
              <w:rPr>
                <w:rFonts w:eastAsiaTheme="minorHAnsi" w:cs="Arial"/>
                <w:sz w:val="20"/>
                <w:szCs w:val="20"/>
                <w:lang w:eastAsia="en-GB" w:bidi="ar-SA"/>
              </w:rPr>
            </w:pPr>
            <w:r w:rsidRPr="00A15CB9">
              <w:rPr>
                <w:rFonts w:eastAsiaTheme="minorHAnsi" w:cs="Arial"/>
                <w:sz w:val="20"/>
                <w:szCs w:val="20"/>
                <w:lang w:eastAsia="en-GB" w:bidi="ar-SA"/>
              </w:rPr>
              <w:t>other assessments that may be required;</w:t>
            </w:r>
          </w:p>
          <w:p w14:paraId="2B9A7985" w14:textId="77777777" w:rsidR="005554C7" w:rsidRPr="00A15CB9" w:rsidRDefault="005554C7" w:rsidP="00844B97">
            <w:pPr>
              <w:widowControl/>
              <w:numPr>
                <w:ilvl w:val="0"/>
                <w:numId w:val="5"/>
              </w:numPr>
              <w:autoSpaceDE w:val="0"/>
              <w:autoSpaceDN w:val="0"/>
              <w:adjustRightInd w:val="0"/>
              <w:ind w:left="568" w:hanging="284"/>
              <w:contextualSpacing/>
              <w:rPr>
                <w:rFonts w:eastAsiaTheme="minorHAnsi" w:cs="Arial"/>
                <w:sz w:val="20"/>
                <w:szCs w:val="20"/>
                <w:lang w:eastAsia="en-GB" w:bidi="ar-SA"/>
              </w:rPr>
            </w:pPr>
            <w:r w:rsidRPr="00A15CB9">
              <w:rPr>
                <w:rFonts w:eastAsiaTheme="minorHAnsi" w:cs="Arial"/>
                <w:sz w:val="20"/>
                <w:szCs w:val="20"/>
                <w:lang w:eastAsia="en-GB" w:bidi="ar-SA"/>
              </w:rPr>
              <w:t>other standards would need to be complied with; or</w:t>
            </w:r>
          </w:p>
          <w:p w14:paraId="6034B8A8" w14:textId="77777777" w:rsidR="005554C7" w:rsidRPr="00322F20" w:rsidRDefault="005554C7" w:rsidP="00844B97">
            <w:pPr>
              <w:widowControl/>
              <w:numPr>
                <w:ilvl w:val="0"/>
                <w:numId w:val="5"/>
              </w:numPr>
              <w:autoSpaceDE w:val="0"/>
              <w:autoSpaceDN w:val="0"/>
              <w:adjustRightInd w:val="0"/>
              <w:ind w:left="568" w:hanging="284"/>
              <w:contextualSpacing/>
              <w:rPr>
                <w:rFonts w:ascii="Verdana" w:eastAsiaTheme="minorHAnsi" w:hAnsi="Verdana" w:cs="Verdana"/>
                <w:sz w:val="20"/>
                <w:szCs w:val="20"/>
                <w:lang w:eastAsia="en-GB" w:bidi="ar-SA"/>
              </w:rPr>
            </w:pPr>
            <w:r w:rsidRPr="00A15CB9">
              <w:rPr>
                <w:rFonts w:eastAsiaTheme="minorHAnsi" w:cs="Arial"/>
                <w:sz w:val="20"/>
                <w:szCs w:val="20"/>
                <w:lang w:eastAsia="en-GB" w:bidi="ar-SA"/>
              </w:rPr>
              <w:t>a</w:t>
            </w:r>
            <w:r>
              <w:rPr>
                <w:rFonts w:eastAsiaTheme="minorHAnsi" w:cs="Arial"/>
                <w:sz w:val="20"/>
                <w:szCs w:val="20"/>
                <w:lang w:eastAsia="en-GB" w:bidi="ar-SA"/>
              </w:rPr>
              <w:t>ny</w:t>
            </w:r>
            <w:r w:rsidRPr="00A15CB9">
              <w:rPr>
                <w:rFonts w:eastAsiaTheme="minorHAnsi" w:cs="Arial"/>
                <w:sz w:val="20"/>
                <w:szCs w:val="20"/>
                <w:lang w:eastAsia="en-GB" w:bidi="ar-SA"/>
              </w:rPr>
              <w:t xml:space="preserve"> applicable policy guideline</w:t>
            </w:r>
            <w:r>
              <w:rPr>
                <w:rFonts w:eastAsiaTheme="minorHAnsi" w:cs="Arial"/>
                <w:sz w:val="20"/>
                <w:szCs w:val="20"/>
                <w:lang w:eastAsia="en-GB" w:bidi="ar-SA"/>
              </w:rPr>
              <w:t>s</w:t>
            </w:r>
            <w:r w:rsidRPr="00A15CB9">
              <w:rPr>
                <w:rFonts w:eastAsiaTheme="minorHAnsi" w:cs="Arial"/>
                <w:sz w:val="20"/>
                <w:szCs w:val="20"/>
                <w:lang w:eastAsia="en-GB" w:bidi="ar-SA"/>
              </w:rPr>
              <w:t xml:space="preserve"> that FSANZ should have regard to.</w:t>
            </w:r>
          </w:p>
          <w:p w14:paraId="619D00F6" w14:textId="77777777" w:rsidR="005554C7" w:rsidRDefault="005554C7" w:rsidP="00844B97">
            <w:pPr>
              <w:widowControl/>
              <w:autoSpaceDE w:val="0"/>
              <w:autoSpaceDN w:val="0"/>
              <w:adjustRightInd w:val="0"/>
              <w:contextualSpacing/>
              <w:rPr>
                <w:rFonts w:cs="Arial"/>
                <w:color w:val="000000"/>
                <w:sz w:val="20"/>
                <w:szCs w:val="20"/>
                <w:lang w:val="en-AU" w:eastAsia="en-GB" w:bidi="ar-SA"/>
              </w:rPr>
            </w:pPr>
          </w:p>
          <w:p w14:paraId="5F3AC7D7" w14:textId="77777777" w:rsidR="005554C7" w:rsidRPr="00322F20" w:rsidRDefault="005554C7" w:rsidP="00844B97">
            <w:pPr>
              <w:widowControl/>
              <w:autoSpaceDE w:val="0"/>
              <w:autoSpaceDN w:val="0"/>
              <w:adjustRightInd w:val="0"/>
              <w:contextualSpacing/>
              <w:rPr>
                <w:rFonts w:cs="Arial"/>
                <w:color w:val="000000"/>
                <w:sz w:val="20"/>
                <w:szCs w:val="20"/>
                <w:lang w:val="en-AU" w:eastAsia="en-GB" w:bidi="ar-SA"/>
              </w:rPr>
            </w:pPr>
            <w:r w:rsidRPr="00322F20">
              <w:rPr>
                <w:rFonts w:cs="Arial"/>
                <w:color w:val="000000"/>
                <w:sz w:val="20"/>
                <w:szCs w:val="20"/>
                <w:lang w:val="en-AU" w:eastAsia="en-GB" w:bidi="ar-SA"/>
              </w:rPr>
              <w:t xml:space="preserve">Foods which are determined to not require a full assessment would be listed in the </w:t>
            </w:r>
            <w:r>
              <w:rPr>
                <w:rFonts w:cs="Arial"/>
                <w:color w:val="000000"/>
                <w:sz w:val="20"/>
                <w:szCs w:val="20"/>
                <w:lang w:val="en-AU" w:eastAsia="en-GB" w:bidi="ar-SA"/>
              </w:rPr>
              <w:t>C</w:t>
            </w:r>
            <w:r w:rsidRPr="00322F20">
              <w:rPr>
                <w:rFonts w:cs="Arial"/>
                <w:color w:val="000000"/>
                <w:sz w:val="20"/>
                <w:szCs w:val="20"/>
                <w:lang w:val="en-AU" w:eastAsia="en-GB" w:bidi="ar-SA"/>
              </w:rPr>
              <w:t>ode (without further public consultation).</w:t>
            </w:r>
          </w:p>
          <w:p w14:paraId="6D116137"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4ECB5A37" w14:textId="0D02ACCC" w:rsidR="005554C7" w:rsidRPr="00A15CB9" w:rsidRDefault="005554C7" w:rsidP="00302E1F">
            <w:pPr>
              <w:widowControl/>
              <w:autoSpaceDE w:val="0"/>
              <w:autoSpaceDN w:val="0"/>
              <w:adjustRightInd w:val="0"/>
              <w:rPr>
                <w:rFonts w:cs="Arial"/>
                <w:sz w:val="20"/>
                <w:szCs w:val="20"/>
                <w:lang w:eastAsia="en-GB" w:bidi="ar-SA"/>
              </w:rPr>
            </w:pPr>
            <w:r>
              <w:rPr>
                <w:rFonts w:cs="Arial"/>
                <w:sz w:val="20"/>
                <w:szCs w:val="20"/>
                <w:lang w:eastAsia="en-GB" w:bidi="ar-SA"/>
              </w:rPr>
              <w:t xml:space="preserve">Noted. This is addressed above. </w:t>
            </w:r>
            <w:r w:rsidR="00302E1F">
              <w:rPr>
                <w:rFonts w:cs="Arial"/>
                <w:sz w:val="20"/>
                <w:szCs w:val="20"/>
                <w:lang w:eastAsia="en-GB" w:bidi="ar-SA"/>
              </w:rPr>
              <w:t>The modified framework</w:t>
            </w:r>
            <w:r>
              <w:rPr>
                <w:rFonts w:cs="Arial"/>
                <w:sz w:val="20"/>
                <w:szCs w:val="20"/>
                <w:lang w:eastAsia="en-GB" w:bidi="ar-SA"/>
              </w:rPr>
              <w:t xml:space="preserve"> retain</w:t>
            </w:r>
            <w:r w:rsidR="00302E1F">
              <w:rPr>
                <w:rFonts w:cs="Arial"/>
                <w:sz w:val="20"/>
                <w:szCs w:val="20"/>
                <w:lang w:eastAsia="en-GB" w:bidi="ar-SA"/>
              </w:rPr>
              <w:t>s</w:t>
            </w:r>
            <w:r>
              <w:rPr>
                <w:rFonts w:cs="Arial"/>
                <w:sz w:val="20"/>
                <w:szCs w:val="20"/>
                <w:lang w:eastAsia="en-GB" w:bidi="ar-SA"/>
              </w:rPr>
              <w:t xml:space="preserve"> the approach of permitting foods meeting certain criteria (to be developed further) to be </w:t>
            </w:r>
            <w:r w:rsidR="00F778DA">
              <w:rPr>
                <w:rFonts w:cs="Arial"/>
                <w:sz w:val="20"/>
                <w:szCs w:val="20"/>
                <w:lang w:eastAsia="en-GB" w:bidi="ar-SA"/>
              </w:rPr>
              <w:t>sold without requiring pre-market approval</w:t>
            </w:r>
            <w:r>
              <w:rPr>
                <w:rFonts w:cs="Arial"/>
                <w:sz w:val="20"/>
                <w:szCs w:val="20"/>
                <w:lang w:eastAsia="en-GB" w:bidi="ar-SA"/>
              </w:rPr>
              <w:t>.</w:t>
            </w:r>
          </w:p>
        </w:tc>
      </w:tr>
      <w:tr w:rsidR="005554C7" w:rsidRPr="00A15CB9" w14:paraId="6183146A" w14:textId="77777777" w:rsidTr="00072CC7">
        <w:trPr>
          <w:cantSplit/>
        </w:trPr>
        <w:tc>
          <w:tcPr>
            <w:tcW w:w="2189" w:type="dxa"/>
            <w:vMerge w:val="restart"/>
            <w:shd w:val="clear" w:color="auto" w:fill="auto"/>
          </w:tcPr>
          <w:p w14:paraId="3797D7C2" w14:textId="77777777" w:rsidR="005554C7" w:rsidRPr="00A15CB9" w:rsidRDefault="005554C7" w:rsidP="005554C7">
            <w:pPr>
              <w:rPr>
                <w:rFonts w:cs="Arial"/>
                <w:sz w:val="20"/>
                <w:szCs w:val="20"/>
                <w:lang w:eastAsia="en-AU" w:bidi="ar-SA"/>
              </w:rPr>
            </w:pPr>
            <w:r w:rsidRPr="00A15CB9">
              <w:rPr>
                <w:rFonts w:cs="Arial"/>
                <w:sz w:val="20"/>
                <w:szCs w:val="20"/>
                <w:lang w:eastAsia="en-AU" w:bidi="ar-SA"/>
              </w:rPr>
              <w:lastRenderedPageBreak/>
              <w:t xml:space="preserve">Options based on changes to the Code and/or </w:t>
            </w:r>
            <w:r w:rsidRPr="00393EFE">
              <w:rPr>
                <w:rFonts w:cs="Arial"/>
                <w:i/>
                <w:sz w:val="20"/>
                <w:szCs w:val="20"/>
                <w:lang w:eastAsia="en-AU" w:bidi="ar-SA"/>
              </w:rPr>
              <w:t>Application Handbook</w:t>
            </w:r>
          </w:p>
          <w:p w14:paraId="573CEC31" w14:textId="77777777" w:rsidR="005554C7" w:rsidRPr="00A15CB9" w:rsidRDefault="005554C7" w:rsidP="005554C7">
            <w:pPr>
              <w:rPr>
                <w:rFonts w:cs="Arial"/>
                <w:sz w:val="20"/>
                <w:szCs w:val="20"/>
                <w:lang w:eastAsia="en-AU" w:bidi="ar-SA"/>
              </w:rPr>
            </w:pPr>
          </w:p>
        </w:tc>
        <w:tc>
          <w:tcPr>
            <w:tcW w:w="1202" w:type="dxa"/>
            <w:shd w:val="clear" w:color="auto" w:fill="auto"/>
          </w:tcPr>
          <w:p w14:paraId="573DEEEA" w14:textId="77777777" w:rsidR="005554C7" w:rsidRPr="00A15CB9" w:rsidRDefault="005554C7" w:rsidP="005554C7">
            <w:pPr>
              <w:ind w:left="113" w:hanging="113"/>
              <w:rPr>
                <w:rFonts w:cs="Arial"/>
                <w:sz w:val="20"/>
                <w:szCs w:val="20"/>
              </w:rPr>
            </w:pPr>
            <w:r w:rsidRPr="00A15CB9">
              <w:rPr>
                <w:rFonts w:cs="Arial"/>
                <w:sz w:val="20"/>
                <w:szCs w:val="20"/>
              </w:rPr>
              <w:t>SA</w:t>
            </w:r>
          </w:p>
        </w:tc>
        <w:tc>
          <w:tcPr>
            <w:tcW w:w="7954" w:type="dxa"/>
            <w:shd w:val="clear" w:color="auto" w:fill="auto"/>
          </w:tcPr>
          <w:p w14:paraId="7E035C0C" w14:textId="39DB1B93" w:rsidR="005554C7" w:rsidRDefault="005554C7" w:rsidP="005554C7">
            <w:pPr>
              <w:widowControl/>
              <w:autoSpaceDE w:val="0"/>
              <w:autoSpaceDN w:val="0"/>
              <w:adjustRightInd w:val="0"/>
              <w:rPr>
                <w:rFonts w:cs="Arial"/>
                <w:color w:val="000000"/>
                <w:sz w:val="20"/>
                <w:szCs w:val="20"/>
                <w:lang w:eastAsia="en-GB" w:bidi="ar-SA"/>
              </w:rPr>
            </w:pPr>
            <w:r w:rsidRPr="00A15CB9">
              <w:rPr>
                <w:rFonts w:cs="Arial"/>
                <w:color w:val="000000"/>
                <w:sz w:val="20"/>
                <w:szCs w:val="20"/>
                <w:lang w:eastAsia="en-GB" w:bidi="ar-SA"/>
              </w:rPr>
              <w:t xml:space="preserve">SA proposed the following in addition to the regulatory options provided in P1024: </w:t>
            </w:r>
          </w:p>
          <w:p w14:paraId="25BD981E" w14:textId="77777777" w:rsidR="00844B97" w:rsidRPr="00A15CB9" w:rsidRDefault="00844B97" w:rsidP="005554C7">
            <w:pPr>
              <w:widowControl/>
              <w:autoSpaceDE w:val="0"/>
              <w:autoSpaceDN w:val="0"/>
              <w:adjustRightInd w:val="0"/>
              <w:rPr>
                <w:rFonts w:cs="Arial"/>
                <w:color w:val="000000"/>
                <w:sz w:val="20"/>
                <w:szCs w:val="20"/>
                <w:lang w:eastAsia="en-GB" w:bidi="ar-SA"/>
              </w:rPr>
            </w:pPr>
          </w:p>
          <w:p w14:paraId="61EF3EC7" w14:textId="77777777" w:rsidR="005554C7" w:rsidRPr="00A15CB9" w:rsidRDefault="005554C7" w:rsidP="00844B97">
            <w:pPr>
              <w:widowControl/>
              <w:numPr>
                <w:ilvl w:val="0"/>
                <w:numId w:val="6"/>
              </w:numPr>
              <w:autoSpaceDE w:val="0"/>
              <w:autoSpaceDN w:val="0"/>
              <w:adjustRightInd w:val="0"/>
              <w:ind w:left="284" w:hanging="284"/>
              <w:contextualSpacing/>
              <w:rPr>
                <w:rFonts w:eastAsiaTheme="minorHAnsi" w:cs="Arial"/>
                <w:color w:val="000000"/>
                <w:sz w:val="20"/>
                <w:szCs w:val="20"/>
                <w:lang w:eastAsia="en-GB" w:bidi="ar-SA"/>
              </w:rPr>
            </w:pPr>
            <w:r w:rsidRPr="00A15CB9">
              <w:rPr>
                <w:rFonts w:eastAsiaTheme="minorHAnsi" w:cs="Arial"/>
                <w:color w:val="000000"/>
                <w:sz w:val="20"/>
                <w:szCs w:val="20"/>
                <w:lang w:eastAsia="en-GB" w:bidi="ar-SA"/>
              </w:rPr>
              <w:t>Amend the technological purposes listed in Schedule 14 to include “achieve a nutritional purpose”. This would mean that nutritive substances would be considered food additives if used for a nutritional purpose. Such nutritive substances would require a risk analysis as per other food additives.</w:t>
            </w:r>
          </w:p>
          <w:p w14:paraId="32485340" w14:textId="77777777" w:rsidR="005554C7" w:rsidRPr="007B78F5" w:rsidRDefault="005554C7" w:rsidP="00844B97">
            <w:pPr>
              <w:widowControl/>
              <w:numPr>
                <w:ilvl w:val="0"/>
                <w:numId w:val="6"/>
              </w:numPr>
              <w:autoSpaceDE w:val="0"/>
              <w:autoSpaceDN w:val="0"/>
              <w:adjustRightInd w:val="0"/>
              <w:ind w:left="284" w:hanging="284"/>
              <w:contextualSpacing/>
              <w:rPr>
                <w:rFonts w:eastAsiaTheme="minorHAnsi" w:cs="Arial"/>
                <w:color w:val="000000"/>
                <w:sz w:val="20"/>
                <w:szCs w:val="20"/>
                <w:lang w:eastAsia="en-GB" w:bidi="ar-SA"/>
              </w:rPr>
            </w:pPr>
            <w:r w:rsidRPr="00A15CB9">
              <w:rPr>
                <w:rFonts w:eastAsiaTheme="minorHAnsi" w:cs="Arial"/>
                <w:color w:val="000000"/>
                <w:sz w:val="20"/>
                <w:szCs w:val="20"/>
                <w:lang w:eastAsia="en-GB" w:bidi="ar-SA"/>
              </w:rPr>
              <w:t xml:space="preserve">Remove </w:t>
            </w:r>
            <w:r w:rsidRPr="00393EFE">
              <w:rPr>
                <w:rFonts w:eastAsiaTheme="minorHAnsi" w:cs="Arial"/>
                <w:iCs/>
                <w:color w:val="000000"/>
                <w:sz w:val="20"/>
                <w:szCs w:val="20"/>
                <w:lang w:eastAsia="en-GB" w:bidi="ar-SA"/>
              </w:rPr>
              <w:t xml:space="preserve">Standard 1.5.1 - Novel foods </w:t>
            </w:r>
          </w:p>
          <w:p w14:paraId="1BAE9ADD" w14:textId="77777777" w:rsidR="005554C7" w:rsidRPr="00A15CB9" w:rsidRDefault="005554C7" w:rsidP="00844B97">
            <w:pPr>
              <w:widowControl/>
              <w:numPr>
                <w:ilvl w:val="0"/>
                <w:numId w:val="6"/>
              </w:numPr>
              <w:autoSpaceDE w:val="0"/>
              <w:autoSpaceDN w:val="0"/>
              <w:adjustRightInd w:val="0"/>
              <w:ind w:left="284" w:hanging="284"/>
              <w:contextualSpacing/>
              <w:rPr>
                <w:rFonts w:eastAsiaTheme="minorHAnsi" w:cs="Arial"/>
                <w:color w:val="000000"/>
                <w:sz w:val="20"/>
                <w:szCs w:val="20"/>
                <w:lang w:eastAsia="en-GB" w:bidi="ar-SA"/>
              </w:rPr>
            </w:pPr>
            <w:r w:rsidRPr="00A15CB9">
              <w:rPr>
                <w:rFonts w:eastAsiaTheme="minorHAnsi" w:cs="Arial"/>
                <w:color w:val="000000"/>
                <w:sz w:val="20"/>
                <w:szCs w:val="20"/>
                <w:lang w:eastAsia="en-GB" w:bidi="ar-SA"/>
              </w:rPr>
              <w:t xml:space="preserve">Amend </w:t>
            </w:r>
            <w:r w:rsidRPr="00393EFE">
              <w:rPr>
                <w:rFonts w:eastAsiaTheme="minorHAnsi" w:cs="Arial"/>
                <w:iCs/>
                <w:color w:val="000000"/>
                <w:sz w:val="20"/>
                <w:szCs w:val="20"/>
                <w:lang w:eastAsia="en-GB" w:bidi="ar-SA"/>
              </w:rPr>
              <w:t>Standard 1.4.4 – Prohibited and restricted plants and fungi</w:t>
            </w:r>
            <w:r w:rsidRPr="00A15CB9">
              <w:rPr>
                <w:rFonts w:eastAsiaTheme="minorHAnsi" w:cs="Arial"/>
                <w:i/>
                <w:iCs/>
                <w:color w:val="000000"/>
                <w:sz w:val="20"/>
                <w:szCs w:val="20"/>
                <w:lang w:eastAsia="en-GB" w:bidi="ar-SA"/>
              </w:rPr>
              <w:t xml:space="preserve"> </w:t>
            </w:r>
            <w:r w:rsidRPr="00A15CB9">
              <w:rPr>
                <w:rFonts w:eastAsiaTheme="minorHAnsi" w:cs="Arial"/>
                <w:color w:val="000000"/>
                <w:sz w:val="20"/>
                <w:szCs w:val="20"/>
                <w:lang w:eastAsia="en-GB" w:bidi="ar-SA"/>
              </w:rPr>
              <w:t>to be an expanded list of prohibited substances that cannot be added to food</w:t>
            </w:r>
          </w:p>
          <w:p w14:paraId="1477D73F" w14:textId="77777777" w:rsidR="005554C7" w:rsidRPr="00A15CB9" w:rsidRDefault="005554C7" w:rsidP="005554C7">
            <w:pPr>
              <w:widowControl/>
              <w:autoSpaceDE w:val="0"/>
              <w:autoSpaceDN w:val="0"/>
              <w:adjustRightInd w:val="0"/>
              <w:ind w:left="538" w:hanging="520"/>
              <w:rPr>
                <w:rFonts w:cs="Arial"/>
                <w:color w:val="000000"/>
                <w:sz w:val="20"/>
                <w:szCs w:val="20"/>
                <w:lang w:eastAsia="en-GB" w:bidi="ar-SA"/>
              </w:rPr>
            </w:pPr>
          </w:p>
          <w:p w14:paraId="54893FE3" w14:textId="77777777" w:rsidR="005554C7" w:rsidRPr="00393EFE" w:rsidRDefault="005554C7" w:rsidP="005554C7">
            <w:pPr>
              <w:widowControl/>
              <w:autoSpaceDE w:val="0"/>
              <w:autoSpaceDN w:val="0"/>
              <w:adjustRightInd w:val="0"/>
              <w:rPr>
                <w:rFonts w:cs="Arial"/>
                <w:b/>
                <w:sz w:val="20"/>
                <w:szCs w:val="20"/>
              </w:rPr>
            </w:pPr>
            <w:r w:rsidRPr="00393EFE">
              <w:rPr>
                <w:rFonts w:cs="Arial"/>
                <w:b/>
                <w:sz w:val="20"/>
                <w:szCs w:val="20"/>
              </w:rPr>
              <w:t>Scenario for nutritive substance:</w:t>
            </w:r>
          </w:p>
          <w:p w14:paraId="3064C38E" w14:textId="77777777" w:rsidR="005554C7" w:rsidRPr="00A15CB9" w:rsidRDefault="005554C7" w:rsidP="005554C7">
            <w:pPr>
              <w:widowControl/>
              <w:autoSpaceDE w:val="0"/>
              <w:autoSpaceDN w:val="0"/>
              <w:adjustRightInd w:val="0"/>
              <w:spacing w:before="120"/>
              <w:rPr>
                <w:rFonts w:cs="Arial"/>
                <w:color w:val="000000"/>
                <w:sz w:val="20"/>
                <w:szCs w:val="20"/>
                <w:lang w:val="en-AU" w:eastAsia="en-GB" w:bidi="ar-SA"/>
              </w:rPr>
            </w:pPr>
            <w:r w:rsidRPr="00A15CB9">
              <w:rPr>
                <w:rFonts w:cs="Arial"/>
                <w:color w:val="000000"/>
                <w:sz w:val="20"/>
                <w:szCs w:val="20"/>
                <w:lang w:val="en-AU" w:eastAsia="en-GB" w:bidi="ar-SA"/>
              </w:rPr>
              <w:t xml:space="preserve">If the food business intends to use the substance for a nutritive purpose they would not be allowed to use it without applying to amend the Code. If the food business intends to use the substance as a food and not with the technological function as a nutritive substance then they would be allowed to do so, but it would remain their responsibility to offer for sale a food that is safe and suitable. </w:t>
            </w:r>
          </w:p>
          <w:p w14:paraId="24AEDB21" w14:textId="77777777" w:rsidR="005554C7" w:rsidRPr="00A15CB9" w:rsidRDefault="005554C7" w:rsidP="005554C7">
            <w:pPr>
              <w:widowControl/>
              <w:autoSpaceDE w:val="0"/>
              <w:autoSpaceDN w:val="0"/>
              <w:adjustRightInd w:val="0"/>
              <w:rPr>
                <w:rFonts w:cs="Arial"/>
                <w:color w:val="000000"/>
                <w:sz w:val="20"/>
                <w:szCs w:val="20"/>
                <w:u w:val="single"/>
                <w:lang w:eastAsia="en-GB" w:bidi="ar-SA"/>
              </w:rPr>
            </w:pPr>
          </w:p>
          <w:p w14:paraId="631951D6" w14:textId="77777777" w:rsidR="005554C7" w:rsidRPr="00393EFE" w:rsidRDefault="005554C7" w:rsidP="005554C7">
            <w:pPr>
              <w:widowControl/>
              <w:autoSpaceDE w:val="0"/>
              <w:autoSpaceDN w:val="0"/>
              <w:adjustRightInd w:val="0"/>
              <w:rPr>
                <w:rFonts w:cs="Arial"/>
                <w:b/>
                <w:color w:val="000000"/>
                <w:sz w:val="20"/>
                <w:szCs w:val="20"/>
                <w:lang w:eastAsia="en-GB" w:bidi="ar-SA"/>
              </w:rPr>
            </w:pPr>
            <w:r w:rsidRPr="00393EFE">
              <w:rPr>
                <w:rFonts w:cs="Arial"/>
                <w:b/>
                <w:color w:val="000000"/>
                <w:sz w:val="20"/>
                <w:szCs w:val="20"/>
                <w:lang w:eastAsia="en-GB" w:bidi="ar-SA"/>
              </w:rPr>
              <w:t>Scenario for a novel food:</w:t>
            </w:r>
          </w:p>
          <w:p w14:paraId="5D655835" w14:textId="77777777" w:rsidR="005554C7" w:rsidRPr="00A15CB9" w:rsidRDefault="005554C7" w:rsidP="005554C7">
            <w:pPr>
              <w:widowControl/>
              <w:autoSpaceDE w:val="0"/>
              <w:autoSpaceDN w:val="0"/>
              <w:adjustRightInd w:val="0"/>
              <w:spacing w:before="120"/>
              <w:rPr>
                <w:rFonts w:cs="Arial"/>
                <w:color w:val="000000"/>
                <w:sz w:val="20"/>
                <w:szCs w:val="20"/>
                <w:lang w:val="en-AU" w:eastAsia="en-GB" w:bidi="ar-SA"/>
              </w:rPr>
            </w:pPr>
            <w:r w:rsidRPr="00A15CB9">
              <w:rPr>
                <w:rFonts w:cs="Arial"/>
                <w:color w:val="000000"/>
                <w:sz w:val="20"/>
                <w:szCs w:val="20"/>
                <w:lang w:val="en-AU" w:eastAsia="en-GB" w:bidi="ar-SA"/>
              </w:rPr>
              <w:t xml:space="preserve">Novel Foods would no longer be regulated by a novel food standard. The decision of whether a novel food (like any other food) is safe and suitable is made by the food business, enforced by the States and Territories and decided by the courts if in dispute. </w:t>
            </w:r>
          </w:p>
          <w:p w14:paraId="13F5BE73" w14:textId="77777777" w:rsidR="005554C7" w:rsidRPr="00A15CB9" w:rsidRDefault="005554C7" w:rsidP="005554C7">
            <w:pPr>
              <w:widowControl/>
              <w:autoSpaceDE w:val="0"/>
              <w:autoSpaceDN w:val="0"/>
              <w:adjustRightInd w:val="0"/>
              <w:rPr>
                <w:rFonts w:cs="Arial"/>
                <w:sz w:val="20"/>
                <w:szCs w:val="20"/>
                <w:lang w:eastAsia="en-GB" w:bidi="ar-SA"/>
              </w:rPr>
            </w:pPr>
          </w:p>
        </w:tc>
        <w:tc>
          <w:tcPr>
            <w:tcW w:w="2830" w:type="dxa"/>
          </w:tcPr>
          <w:p w14:paraId="127C2218" w14:textId="77777777" w:rsidR="00302E1F" w:rsidRDefault="00F778DA" w:rsidP="005554C7">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 xml:space="preserve">Stakeholders are generally supportive of maintaining requirements in the Code for </w:t>
            </w:r>
            <w:r w:rsidR="00794C5E">
              <w:rPr>
                <w:rFonts w:cs="Arial"/>
                <w:color w:val="000000"/>
                <w:sz w:val="20"/>
                <w:szCs w:val="20"/>
                <w:lang w:eastAsia="en-GB" w:bidi="ar-SA"/>
              </w:rPr>
              <w:t>novel</w:t>
            </w:r>
            <w:r>
              <w:rPr>
                <w:rFonts w:cs="Arial"/>
                <w:color w:val="000000"/>
                <w:sz w:val="20"/>
                <w:szCs w:val="20"/>
                <w:lang w:eastAsia="en-GB" w:bidi="ar-SA"/>
              </w:rPr>
              <w:t xml:space="preserve"> foods, noting the difficulties in relying solely on </w:t>
            </w:r>
            <w:r w:rsidR="005554C7">
              <w:rPr>
                <w:rFonts w:cs="Arial"/>
                <w:color w:val="000000"/>
                <w:sz w:val="20"/>
                <w:szCs w:val="20"/>
                <w:lang w:eastAsia="en-GB" w:bidi="ar-SA"/>
              </w:rPr>
              <w:t xml:space="preserve">safe and suitable provisions in the food acts. </w:t>
            </w:r>
          </w:p>
          <w:p w14:paraId="44ADCD7F" w14:textId="77777777" w:rsidR="005554C7" w:rsidRDefault="005554C7" w:rsidP="005554C7">
            <w:pPr>
              <w:widowControl/>
              <w:autoSpaceDE w:val="0"/>
              <w:autoSpaceDN w:val="0"/>
              <w:adjustRightInd w:val="0"/>
              <w:rPr>
                <w:rFonts w:cs="Arial"/>
                <w:color w:val="000000"/>
                <w:sz w:val="20"/>
                <w:szCs w:val="20"/>
                <w:lang w:eastAsia="en-GB" w:bidi="ar-SA"/>
              </w:rPr>
            </w:pPr>
          </w:p>
          <w:p w14:paraId="34A440ED" w14:textId="77777777" w:rsidR="005554C7" w:rsidRDefault="005554C7" w:rsidP="00697624">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Amending Standard 1.4.4</w:t>
            </w:r>
            <w:r w:rsidR="00794C5E">
              <w:rPr>
                <w:rFonts w:cs="Arial"/>
                <w:color w:val="000000"/>
                <w:sz w:val="20"/>
                <w:szCs w:val="20"/>
                <w:lang w:eastAsia="en-GB" w:bidi="ar-SA"/>
              </w:rPr>
              <w:t>,</w:t>
            </w:r>
            <w:r>
              <w:rPr>
                <w:rFonts w:cs="Arial"/>
                <w:color w:val="000000"/>
                <w:sz w:val="20"/>
                <w:szCs w:val="20"/>
                <w:lang w:eastAsia="en-GB" w:bidi="ar-SA"/>
              </w:rPr>
              <w:t xml:space="preserve"> to identify </w:t>
            </w:r>
            <w:r w:rsidR="00697624">
              <w:rPr>
                <w:rFonts w:cs="Arial"/>
                <w:color w:val="000000"/>
                <w:sz w:val="20"/>
                <w:szCs w:val="20"/>
                <w:lang w:eastAsia="en-GB" w:bidi="ar-SA"/>
              </w:rPr>
              <w:t>substances that</w:t>
            </w:r>
            <w:r>
              <w:rPr>
                <w:rFonts w:cs="Arial"/>
                <w:color w:val="000000"/>
                <w:sz w:val="20"/>
                <w:szCs w:val="20"/>
                <w:lang w:eastAsia="en-GB" w:bidi="ar-SA"/>
              </w:rPr>
              <w:t xml:space="preserve"> should </w:t>
            </w:r>
            <w:r w:rsidR="00697624">
              <w:rPr>
                <w:rFonts w:cs="Arial"/>
                <w:color w:val="000000"/>
                <w:sz w:val="20"/>
                <w:szCs w:val="20"/>
                <w:lang w:eastAsia="en-GB" w:bidi="ar-SA"/>
              </w:rPr>
              <w:t>be prohibited</w:t>
            </w:r>
            <w:r w:rsidR="00794C5E">
              <w:rPr>
                <w:rFonts w:cs="Arial"/>
                <w:color w:val="000000"/>
                <w:sz w:val="20"/>
                <w:szCs w:val="20"/>
                <w:lang w:eastAsia="en-GB" w:bidi="ar-SA"/>
              </w:rPr>
              <w:t>,</w:t>
            </w:r>
            <w:r>
              <w:rPr>
                <w:rFonts w:cs="Arial"/>
                <w:color w:val="000000"/>
                <w:sz w:val="20"/>
                <w:szCs w:val="20"/>
                <w:lang w:eastAsia="en-GB" w:bidi="ar-SA"/>
              </w:rPr>
              <w:t xml:space="preserve"> </w:t>
            </w:r>
            <w:r w:rsidR="00697624">
              <w:rPr>
                <w:rFonts w:cs="Arial"/>
                <w:color w:val="000000"/>
                <w:sz w:val="20"/>
                <w:szCs w:val="20"/>
                <w:lang w:eastAsia="en-GB" w:bidi="ar-SA"/>
              </w:rPr>
              <w:t xml:space="preserve">may be reactive in nature and be a case by case proposition (e.g. relying on reports of adverse effects). Such an approach is likely to be resource intensive for government agencies (including FSANZ) and </w:t>
            </w:r>
            <w:r w:rsidR="00794C5E">
              <w:rPr>
                <w:rFonts w:cs="Arial"/>
                <w:color w:val="000000"/>
                <w:sz w:val="20"/>
                <w:szCs w:val="20"/>
                <w:lang w:eastAsia="en-GB" w:bidi="ar-SA"/>
              </w:rPr>
              <w:t xml:space="preserve">may be subject to more uncertainty than the current Code provisions. </w:t>
            </w:r>
          </w:p>
          <w:p w14:paraId="5AB15E7F" w14:textId="3E854DA8" w:rsidR="007B78F5" w:rsidRPr="00A15CB9" w:rsidRDefault="007B78F5" w:rsidP="00697624">
            <w:pPr>
              <w:widowControl/>
              <w:autoSpaceDE w:val="0"/>
              <w:autoSpaceDN w:val="0"/>
              <w:adjustRightInd w:val="0"/>
              <w:rPr>
                <w:rFonts w:cs="Arial"/>
                <w:color w:val="000000"/>
                <w:sz w:val="20"/>
                <w:szCs w:val="20"/>
                <w:lang w:eastAsia="en-GB" w:bidi="ar-SA"/>
              </w:rPr>
            </w:pPr>
          </w:p>
        </w:tc>
      </w:tr>
      <w:tr w:rsidR="005554C7" w:rsidRPr="00A15CB9" w14:paraId="775BD55D" w14:textId="77777777" w:rsidTr="00072CC7">
        <w:tc>
          <w:tcPr>
            <w:tcW w:w="2189" w:type="dxa"/>
            <w:vMerge/>
            <w:shd w:val="clear" w:color="auto" w:fill="auto"/>
          </w:tcPr>
          <w:p w14:paraId="7CB2FE05" w14:textId="03574633" w:rsidR="005554C7" w:rsidRPr="00A15CB9" w:rsidRDefault="005554C7" w:rsidP="005554C7">
            <w:pPr>
              <w:rPr>
                <w:rFonts w:cs="Arial"/>
                <w:sz w:val="20"/>
                <w:szCs w:val="20"/>
                <w:lang w:eastAsia="en-AU" w:bidi="ar-SA"/>
              </w:rPr>
            </w:pPr>
          </w:p>
        </w:tc>
        <w:tc>
          <w:tcPr>
            <w:tcW w:w="1202" w:type="dxa"/>
            <w:shd w:val="clear" w:color="auto" w:fill="auto"/>
          </w:tcPr>
          <w:p w14:paraId="79C80C03" w14:textId="77777777" w:rsidR="005554C7" w:rsidRPr="00A15CB9" w:rsidRDefault="005554C7" w:rsidP="005554C7">
            <w:pPr>
              <w:ind w:left="113" w:hanging="113"/>
              <w:rPr>
                <w:rFonts w:cs="Arial"/>
                <w:sz w:val="20"/>
                <w:szCs w:val="20"/>
              </w:rPr>
            </w:pPr>
            <w:r w:rsidRPr="00A15CB9">
              <w:rPr>
                <w:rFonts w:cs="Arial"/>
                <w:sz w:val="20"/>
                <w:szCs w:val="20"/>
              </w:rPr>
              <w:t>NSWFA</w:t>
            </w:r>
          </w:p>
        </w:tc>
        <w:tc>
          <w:tcPr>
            <w:tcW w:w="7954" w:type="dxa"/>
            <w:shd w:val="clear" w:color="auto" w:fill="auto"/>
          </w:tcPr>
          <w:p w14:paraId="0A81B538" w14:textId="3AABBC44" w:rsidR="005554C7" w:rsidRPr="00C10A70" w:rsidRDefault="005554C7" w:rsidP="005554C7">
            <w:pPr>
              <w:widowControl/>
              <w:autoSpaceDE w:val="0"/>
              <w:autoSpaceDN w:val="0"/>
              <w:adjustRightInd w:val="0"/>
              <w:rPr>
                <w:rFonts w:cs="Arial"/>
                <w:color w:val="000000"/>
                <w:sz w:val="20"/>
                <w:szCs w:val="20"/>
                <w:lang w:val="en-AU" w:eastAsia="en-GB" w:bidi="ar-SA"/>
              </w:rPr>
            </w:pPr>
            <w:r w:rsidRPr="00C10A70">
              <w:rPr>
                <w:rFonts w:cs="Arial"/>
                <w:color w:val="000000"/>
                <w:sz w:val="20"/>
                <w:szCs w:val="20"/>
                <w:lang w:val="en-AU" w:eastAsia="en-GB" w:bidi="ar-SA"/>
              </w:rPr>
              <w:t>NSWFA requested that FSANZ explore the possibility of further developing and adding ‘eligible food criteria’ to the Handbook This would allow applicants to compile their own safety assessments and provide to FSANZ for review. This approach would clarify what information is required for the industry self-assessment.</w:t>
            </w:r>
          </w:p>
          <w:p w14:paraId="2D11EF00" w14:textId="77777777" w:rsidR="005554C7" w:rsidRPr="00C10A70" w:rsidRDefault="005554C7" w:rsidP="005554C7">
            <w:pPr>
              <w:widowControl/>
              <w:autoSpaceDE w:val="0"/>
              <w:autoSpaceDN w:val="0"/>
              <w:adjustRightInd w:val="0"/>
              <w:rPr>
                <w:rFonts w:cs="Arial"/>
                <w:color w:val="000000"/>
                <w:sz w:val="20"/>
                <w:szCs w:val="20"/>
                <w:lang w:val="en-AU" w:eastAsia="en-GB" w:bidi="ar-SA"/>
              </w:rPr>
            </w:pPr>
          </w:p>
          <w:p w14:paraId="240A9BAF" w14:textId="69625258" w:rsidR="005554C7" w:rsidRPr="00A15CB9" w:rsidRDefault="005554C7" w:rsidP="005554C7">
            <w:pPr>
              <w:widowControl/>
              <w:autoSpaceDE w:val="0"/>
              <w:autoSpaceDN w:val="0"/>
              <w:adjustRightInd w:val="0"/>
              <w:rPr>
                <w:sz w:val="20"/>
                <w:szCs w:val="20"/>
              </w:rPr>
            </w:pPr>
            <w:r w:rsidRPr="00A15CB9">
              <w:rPr>
                <w:sz w:val="20"/>
                <w:szCs w:val="20"/>
              </w:rPr>
              <w:t>As part of this suggested alternative, it may be necessary to amend the novel food standard and nutritive substances definition to ensure that processes outlined in the Handbook are followed.</w:t>
            </w:r>
          </w:p>
          <w:p w14:paraId="46034365" w14:textId="77777777" w:rsidR="005554C7" w:rsidRPr="00A15CB9" w:rsidRDefault="005554C7" w:rsidP="005554C7">
            <w:pPr>
              <w:widowControl/>
              <w:autoSpaceDE w:val="0"/>
              <w:autoSpaceDN w:val="0"/>
              <w:adjustRightInd w:val="0"/>
              <w:rPr>
                <w:rFonts w:cs="Arial"/>
                <w:color w:val="000000"/>
                <w:sz w:val="20"/>
                <w:szCs w:val="20"/>
                <w:lang w:eastAsia="en-GB" w:bidi="ar-SA"/>
              </w:rPr>
            </w:pPr>
          </w:p>
        </w:tc>
        <w:tc>
          <w:tcPr>
            <w:tcW w:w="2830" w:type="dxa"/>
          </w:tcPr>
          <w:p w14:paraId="063D43B9" w14:textId="7BFDEB68" w:rsidR="005554C7" w:rsidRPr="00C10A70" w:rsidRDefault="00697624" w:rsidP="007B78F5">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 xml:space="preserve">See above response to Vic Govt submission. </w:t>
            </w:r>
          </w:p>
        </w:tc>
      </w:tr>
      <w:tr w:rsidR="005554C7" w:rsidRPr="00A15CB9" w14:paraId="49D67228" w14:textId="77777777" w:rsidTr="00072CC7">
        <w:tc>
          <w:tcPr>
            <w:tcW w:w="2189" w:type="dxa"/>
            <w:shd w:val="clear" w:color="auto" w:fill="auto"/>
          </w:tcPr>
          <w:p w14:paraId="191543BA" w14:textId="77777777" w:rsidR="005554C7" w:rsidRPr="00A15CB9" w:rsidRDefault="005554C7" w:rsidP="003A14CD">
            <w:pPr>
              <w:pageBreakBefore/>
              <w:rPr>
                <w:rFonts w:cs="Arial"/>
                <w:sz w:val="20"/>
                <w:szCs w:val="20"/>
                <w:lang w:eastAsia="en-AU" w:bidi="ar-SA"/>
              </w:rPr>
            </w:pPr>
            <w:r w:rsidRPr="00A15CB9">
              <w:rPr>
                <w:rFonts w:cs="Arial"/>
                <w:sz w:val="20"/>
                <w:szCs w:val="20"/>
                <w:lang w:eastAsia="en-AU" w:bidi="ar-SA"/>
              </w:rPr>
              <w:lastRenderedPageBreak/>
              <w:t>Use overseas assessments instead of EFC to exempt novel foods from a pre-market assessment</w:t>
            </w:r>
          </w:p>
          <w:p w14:paraId="5FD40279" w14:textId="77777777" w:rsidR="005554C7" w:rsidRPr="00A15CB9" w:rsidRDefault="005554C7" w:rsidP="005554C7">
            <w:pPr>
              <w:rPr>
                <w:rFonts w:cs="Arial"/>
                <w:sz w:val="20"/>
                <w:szCs w:val="20"/>
                <w:lang w:eastAsia="en-AU" w:bidi="ar-SA"/>
              </w:rPr>
            </w:pPr>
          </w:p>
        </w:tc>
        <w:tc>
          <w:tcPr>
            <w:tcW w:w="1202" w:type="dxa"/>
            <w:shd w:val="clear" w:color="auto" w:fill="auto"/>
          </w:tcPr>
          <w:p w14:paraId="636FB5DF" w14:textId="77777777" w:rsidR="005554C7" w:rsidRPr="00A15CB9" w:rsidRDefault="005554C7" w:rsidP="005554C7">
            <w:pPr>
              <w:rPr>
                <w:rFonts w:cs="Arial"/>
                <w:sz w:val="20"/>
                <w:szCs w:val="20"/>
              </w:rPr>
            </w:pPr>
            <w:r w:rsidRPr="00A15CB9">
              <w:rPr>
                <w:rFonts w:cs="Arial"/>
                <w:sz w:val="20"/>
                <w:szCs w:val="20"/>
              </w:rPr>
              <w:t>AFGC</w:t>
            </w:r>
          </w:p>
        </w:tc>
        <w:tc>
          <w:tcPr>
            <w:tcW w:w="7954" w:type="dxa"/>
            <w:shd w:val="clear" w:color="auto" w:fill="auto"/>
          </w:tcPr>
          <w:p w14:paraId="4FA104A7" w14:textId="25D082C3" w:rsidR="005554C7" w:rsidRDefault="005554C7" w:rsidP="005554C7">
            <w:pPr>
              <w:widowControl/>
              <w:autoSpaceDE w:val="0"/>
              <w:autoSpaceDN w:val="0"/>
              <w:adjustRightInd w:val="0"/>
              <w:rPr>
                <w:rFonts w:cs="Arial"/>
                <w:color w:val="000000"/>
                <w:sz w:val="20"/>
                <w:szCs w:val="20"/>
                <w:lang w:eastAsia="en-GB" w:bidi="ar-SA"/>
              </w:rPr>
            </w:pPr>
            <w:r w:rsidRPr="00A15CB9">
              <w:rPr>
                <w:rFonts w:cs="Arial"/>
                <w:color w:val="000000"/>
                <w:sz w:val="20"/>
                <w:szCs w:val="20"/>
                <w:lang w:eastAsia="en-GB" w:bidi="ar-SA"/>
              </w:rPr>
              <w:t>The AFGC proposes a three category process for assessing novel foods.</w:t>
            </w:r>
          </w:p>
          <w:p w14:paraId="4B3532C1" w14:textId="77777777" w:rsidR="00FE5B17" w:rsidRPr="00A15CB9" w:rsidRDefault="00FE5B17" w:rsidP="005554C7">
            <w:pPr>
              <w:widowControl/>
              <w:autoSpaceDE w:val="0"/>
              <w:autoSpaceDN w:val="0"/>
              <w:adjustRightInd w:val="0"/>
              <w:rPr>
                <w:rFonts w:cs="Arial"/>
                <w:color w:val="000000"/>
                <w:sz w:val="20"/>
                <w:szCs w:val="20"/>
                <w:lang w:eastAsia="en-GB" w:bidi="ar-SA"/>
              </w:rPr>
            </w:pPr>
          </w:p>
          <w:p w14:paraId="6F3C4FEF" w14:textId="77777777" w:rsidR="005554C7" w:rsidRPr="009D0C23" w:rsidRDefault="005554C7" w:rsidP="00FE5B17">
            <w:pPr>
              <w:pStyle w:val="FSBullet1"/>
              <w:numPr>
                <w:ilvl w:val="0"/>
                <w:numId w:val="11"/>
              </w:numPr>
              <w:ind w:left="284" w:hanging="284"/>
              <w:rPr>
                <w:rFonts w:eastAsiaTheme="minorHAnsi"/>
                <w:sz w:val="20"/>
                <w:lang w:eastAsia="en-GB"/>
              </w:rPr>
            </w:pPr>
            <w:r w:rsidRPr="009D0C23">
              <w:rPr>
                <w:rFonts w:eastAsiaTheme="minorHAnsi"/>
                <w:bCs/>
                <w:sz w:val="20"/>
                <w:lang w:eastAsia="en-GB"/>
              </w:rPr>
              <w:t xml:space="preserve">‘Exempted” </w:t>
            </w:r>
            <w:r w:rsidRPr="009D0C23">
              <w:rPr>
                <w:rFonts w:eastAsiaTheme="minorHAnsi"/>
                <w:sz w:val="20"/>
                <w:lang w:eastAsia="en-GB"/>
              </w:rPr>
              <w:t xml:space="preserve">if the novel food meets certain criteria (an existing unrestricted approval from a comparable overseas economy/jurisdiction) with data to be held by manufacturer </w:t>
            </w:r>
          </w:p>
          <w:p w14:paraId="77D378C9" w14:textId="77777777" w:rsidR="005554C7" w:rsidRPr="009D0C23" w:rsidRDefault="005554C7" w:rsidP="00FE5B17">
            <w:pPr>
              <w:pStyle w:val="FSBullet1"/>
              <w:numPr>
                <w:ilvl w:val="0"/>
                <w:numId w:val="11"/>
              </w:numPr>
              <w:ind w:left="284" w:hanging="284"/>
              <w:rPr>
                <w:rFonts w:eastAsiaTheme="minorHAnsi"/>
                <w:sz w:val="20"/>
                <w:lang w:eastAsia="en-GB"/>
              </w:rPr>
            </w:pPr>
            <w:r w:rsidRPr="009D0C23">
              <w:rPr>
                <w:rFonts w:eastAsiaTheme="minorHAnsi"/>
                <w:bCs/>
                <w:sz w:val="20"/>
                <w:lang w:eastAsia="en-GB"/>
              </w:rPr>
              <w:t xml:space="preserve">“Reported” </w:t>
            </w:r>
            <w:r w:rsidRPr="009D0C23">
              <w:rPr>
                <w:rFonts w:eastAsiaTheme="minorHAnsi"/>
                <w:sz w:val="20"/>
                <w:lang w:eastAsia="en-GB"/>
              </w:rPr>
              <w:t>if the novel food is not exempted and meets certain other criteria (i.e. overseas approval with restrictions), thus requiring a self-assessment analysis and data to be provided to FSANZ</w:t>
            </w:r>
          </w:p>
          <w:p w14:paraId="4A4A5A01" w14:textId="573CF522" w:rsidR="005554C7" w:rsidRPr="007B78F5" w:rsidRDefault="005554C7" w:rsidP="00FE5B17">
            <w:pPr>
              <w:pStyle w:val="FSBullet1"/>
              <w:numPr>
                <w:ilvl w:val="0"/>
                <w:numId w:val="11"/>
              </w:numPr>
              <w:autoSpaceDE w:val="0"/>
              <w:autoSpaceDN w:val="0"/>
              <w:adjustRightInd w:val="0"/>
              <w:ind w:left="284" w:hanging="284"/>
              <w:rPr>
                <w:color w:val="000000"/>
                <w:sz w:val="20"/>
                <w:szCs w:val="20"/>
                <w:lang w:val="en-AU" w:eastAsia="en-GB"/>
              </w:rPr>
            </w:pPr>
            <w:r w:rsidRPr="007B78F5">
              <w:rPr>
                <w:rFonts w:eastAsiaTheme="minorHAnsi"/>
                <w:bCs/>
                <w:sz w:val="20"/>
                <w:lang w:eastAsia="en-GB"/>
              </w:rPr>
              <w:t xml:space="preserve">“Assessed” </w:t>
            </w:r>
            <w:r w:rsidRPr="007B78F5">
              <w:rPr>
                <w:rFonts w:eastAsiaTheme="minorHAnsi"/>
                <w:sz w:val="20"/>
                <w:lang w:eastAsia="en-GB"/>
              </w:rPr>
              <w:t>if the novel food is not exempted or reported (self-assessed), with a regulatory analysis and process required.</w:t>
            </w:r>
          </w:p>
          <w:p w14:paraId="1A5A35B8" w14:textId="77777777" w:rsidR="00F65CC9" w:rsidRPr="00A15CB9" w:rsidRDefault="00F65CC9" w:rsidP="005554C7">
            <w:pPr>
              <w:widowControl/>
              <w:autoSpaceDE w:val="0"/>
              <w:autoSpaceDN w:val="0"/>
              <w:adjustRightInd w:val="0"/>
              <w:rPr>
                <w:rFonts w:cs="Arial"/>
                <w:color w:val="000000"/>
                <w:sz w:val="20"/>
                <w:szCs w:val="20"/>
                <w:lang w:val="en-AU" w:eastAsia="en-GB" w:bidi="ar-SA"/>
              </w:rPr>
            </w:pPr>
          </w:p>
        </w:tc>
        <w:tc>
          <w:tcPr>
            <w:tcW w:w="2830" w:type="dxa"/>
          </w:tcPr>
          <w:p w14:paraId="11CB9316" w14:textId="48E01A21" w:rsidR="005554C7" w:rsidRPr="00A15CB9" w:rsidRDefault="005554C7" w:rsidP="000B6693">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 xml:space="preserve">FSANZ </w:t>
            </w:r>
            <w:r w:rsidR="000B6693">
              <w:rPr>
                <w:rFonts w:cs="Arial"/>
                <w:color w:val="000000"/>
                <w:sz w:val="20"/>
                <w:szCs w:val="20"/>
                <w:lang w:eastAsia="en-GB" w:bidi="ar-SA"/>
              </w:rPr>
              <w:t>will give</w:t>
            </w:r>
            <w:r w:rsidR="000B462A">
              <w:rPr>
                <w:rFonts w:cs="Arial"/>
                <w:color w:val="000000"/>
                <w:sz w:val="20"/>
                <w:szCs w:val="20"/>
                <w:lang w:eastAsia="en-GB" w:bidi="ar-SA"/>
              </w:rPr>
              <w:t xml:space="preserve"> further consideration to overseas assessments and approvals</w:t>
            </w:r>
            <w:r w:rsidR="000B6693">
              <w:rPr>
                <w:rFonts w:cs="Arial"/>
                <w:color w:val="000000"/>
                <w:sz w:val="20"/>
                <w:szCs w:val="20"/>
                <w:lang w:eastAsia="en-GB" w:bidi="ar-SA"/>
              </w:rPr>
              <w:t xml:space="preserve"> during the next stage of the proposal</w:t>
            </w:r>
            <w:r w:rsidR="000B462A">
              <w:rPr>
                <w:rFonts w:cs="Arial"/>
                <w:color w:val="000000"/>
                <w:sz w:val="20"/>
                <w:szCs w:val="20"/>
                <w:lang w:eastAsia="en-GB" w:bidi="ar-SA"/>
              </w:rPr>
              <w:t xml:space="preserve">. </w:t>
            </w:r>
          </w:p>
        </w:tc>
      </w:tr>
      <w:tr w:rsidR="000B462A" w:rsidRPr="00A15CB9" w14:paraId="3C225ECD" w14:textId="77777777" w:rsidTr="00072CC7">
        <w:trPr>
          <w:trHeight w:val="346"/>
        </w:trPr>
        <w:tc>
          <w:tcPr>
            <w:tcW w:w="14175" w:type="dxa"/>
            <w:gridSpan w:val="4"/>
            <w:shd w:val="clear" w:color="auto" w:fill="EAF1DD" w:themeFill="accent3" w:themeFillTint="33"/>
            <w:vAlign w:val="center"/>
          </w:tcPr>
          <w:p w14:paraId="47B31466" w14:textId="1B831C47" w:rsidR="000B462A" w:rsidRPr="000B462A" w:rsidRDefault="000B462A" w:rsidP="000B462A">
            <w:pPr>
              <w:widowControl/>
              <w:autoSpaceDE w:val="0"/>
              <w:autoSpaceDN w:val="0"/>
              <w:adjustRightInd w:val="0"/>
              <w:jc w:val="center"/>
              <w:rPr>
                <w:rFonts w:cs="Arial"/>
                <w:b/>
                <w:color w:val="000000"/>
                <w:sz w:val="20"/>
                <w:szCs w:val="20"/>
                <w:lang w:eastAsia="en-GB" w:bidi="ar-SA"/>
              </w:rPr>
            </w:pPr>
            <w:r w:rsidRPr="000B462A">
              <w:rPr>
                <w:rFonts w:cs="Arial"/>
                <w:b/>
                <w:color w:val="000000"/>
                <w:sz w:val="20"/>
                <w:szCs w:val="20"/>
                <w:lang w:eastAsia="en-GB" w:bidi="ar-SA"/>
              </w:rPr>
              <w:t>Comments on EFC and self-assessment notification pathways</w:t>
            </w:r>
          </w:p>
        </w:tc>
      </w:tr>
      <w:tr w:rsidR="000B462A" w:rsidRPr="00A15CB9" w14:paraId="6BDF5E26" w14:textId="77777777" w:rsidTr="00072CC7">
        <w:tc>
          <w:tcPr>
            <w:tcW w:w="14175" w:type="dxa"/>
            <w:gridSpan w:val="4"/>
            <w:shd w:val="clear" w:color="auto" w:fill="EAF1DD" w:themeFill="accent3" w:themeFillTint="33"/>
          </w:tcPr>
          <w:p w14:paraId="7FEAC047" w14:textId="24E4B956" w:rsidR="000B462A" w:rsidRDefault="000B462A" w:rsidP="000B462A">
            <w:pPr>
              <w:widowControl/>
              <w:autoSpaceDE w:val="0"/>
              <w:autoSpaceDN w:val="0"/>
              <w:adjustRightInd w:val="0"/>
              <w:rPr>
                <w:rFonts w:cs="Arial"/>
                <w:color w:val="000000"/>
                <w:sz w:val="20"/>
                <w:szCs w:val="20"/>
                <w:lang w:eastAsia="en-GB" w:bidi="ar-SA"/>
              </w:rPr>
            </w:pPr>
            <w:r w:rsidRPr="00A15CB9">
              <w:rPr>
                <w:rFonts w:cs="Arial"/>
                <w:b/>
                <w:iCs/>
                <w:sz w:val="20"/>
                <w:szCs w:val="20"/>
                <w:lang w:eastAsia="en-GB" w:bidi="ar-SA"/>
              </w:rPr>
              <w:t>CFS Question: What type of information do you think should be held by food businesses to support the safety of eligible foods? Please describe the type of information and why this information would support safety.</w:t>
            </w:r>
          </w:p>
        </w:tc>
      </w:tr>
      <w:tr w:rsidR="000B462A" w:rsidRPr="00A15CB9" w14:paraId="49B5D8E3" w14:textId="77777777" w:rsidTr="00072CC7">
        <w:tc>
          <w:tcPr>
            <w:tcW w:w="2189" w:type="dxa"/>
            <w:shd w:val="clear" w:color="auto" w:fill="auto"/>
          </w:tcPr>
          <w:p w14:paraId="67FADAB5" w14:textId="27203D26" w:rsidR="000B462A" w:rsidRPr="00A15CB9" w:rsidRDefault="000B462A" w:rsidP="005554C7">
            <w:pPr>
              <w:rPr>
                <w:rFonts w:cs="Arial"/>
                <w:sz w:val="20"/>
                <w:szCs w:val="20"/>
                <w:lang w:eastAsia="en-AU" w:bidi="ar-SA"/>
              </w:rPr>
            </w:pPr>
            <w:r w:rsidRPr="00A15CB9">
              <w:rPr>
                <w:rFonts w:cs="Arial"/>
                <w:sz w:val="20"/>
                <w:szCs w:val="20"/>
              </w:rPr>
              <w:t>Businesses should not be holding any information</w:t>
            </w:r>
          </w:p>
        </w:tc>
        <w:tc>
          <w:tcPr>
            <w:tcW w:w="1202" w:type="dxa"/>
            <w:shd w:val="clear" w:color="auto" w:fill="auto"/>
          </w:tcPr>
          <w:p w14:paraId="1DA54479" w14:textId="1AD6AA88" w:rsidR="000B462A" w:rsidRPr="00A15CB9" w:rsidRDefault="000B462A" w:rsidP="005554C7">
            <w:pPr>
              <w:rPr>
                <w:rFonts w:cs="Arial"/>
                <w:sz w:val="20"/>
                <w:szCs w:val="20"/>
              </w:rPr>
            </w:pPr>
            <w:r w:rsidRPr="00A15CB9">
              <w:rPr>
                <w:sz w:val="20"/>
                <w:szCs w:val="20"/>
              </w:rPr>
              <w:t>NSWFA, SA, Vic Govt</w:t>
            </w:r>
          </w:p>
        </w:tc>
        <w:tc>
          <w:tcPr>
            <w:tcW w:w="7954" w:type="dxa"/>
            <w:shd w:val="clear" w:color="auto" w:fill="auto"/>
          </w:tcPr>
          <w:p w14:paraId="3858E113" w14:textId="77777777" w:rsidR="000B462A" w:rsidRPr="00A15CB9" w:rsidRDefault="000B462A" w:rsidP="00997CA5">
            <w:pPr>
              <w:widowControl/>
              <w:autoSpaceDE w:val="0"/>
              <w:autoSpaceDN w:val="0"/>
              <w:adjustRightInd w:val="0"/>
              <w:rPr>
                <w:rFonts w:cs="Arial"/>
                <w:sz w:val="20"/>
                <w:szCs w:val="20"/>
                <w:lang w:eastAsia="en-GB" w:bidi="ar-SA"/>
              </w:rPr>
            </w:pPr>
            <w:r w:rsidRPr="00A15CB9">
              <w:rPr>
                <w:rFonts w:cs="Arial"/>
                <w:sz w:val="20"/>
                <w:szCs w:val="20"/>
                <w:lang w:eastAsia="en-GB" w:bidi="ar-SA"/>
              </w:rPr>
              <w:t xml:space="preserve">It would not be sufficient for food businesses to simply hold information. </w:t>
            </w:r>
            <w:r w:rsidRPr="00A15CB9">
              <w:rPr>
                <w:rFonts w:cs="Arial"/>
                <w:sz w:val="20"/>
                <w:szCs w:val="20"/>
                <w:lang w:eastAsia="en-GB"/>
              </w:rPr>
              <w:t xml:space="preserve">The experience provided by the self-substantiation of health claims demonstrates there needs to be a centralised body that verifies the safety of a proposed eligible food. </w:t>
            </w:r>
          </w:p>
          <w:p w14:paraId="68408CF4" w14:textId="77777777" w:rsidR="000B462A" w:rsidRPr="00A15CB9" w:rsidRDefault="000B462A" w:rsidP="005554C7">
            <w:pPr>
              <w:widowControl/>
              <w:autoSpaceDE w:val="0"/>
              <w:autoSpaceDN w:val="0"/>
              <w:adjustRightInd w:val="0"/>
              <w:rPr>
                <w:rFonts w:cs="Arial"/>
                <w:color w:val="000000"/>
                <w:sz w:val="20"/>
                <w:szCs w:val="20"/>
                <w:lang w:eastAsia="en-GB" w:bidi="ar-SA"/>
              </w:rPr>
            </w:pPr>
          </w:p>
        </w:tc>
        <w:tc>
          <w:tcPr>
            <w:tcW w:w="2830" w:type="dxa"/>
          </w:tcPr>
          <w:p w14:paraId="13E2D44C" w14:textId="4CD9391A" w:rsidR="00302E1F" w:rsidRDefault="000B462A" w:rsidP="007B78F5">
            <w:pPr>
              <w:widowControl/>
              <w:autoSpaceDE w:val="0"/>
              <w:autoSpaceDN w:val="0"/>
              <w:adjustRightInd w:val="0"/>
              <w:rPr>
                <w:rFonts w:cs="Arial"/>
                <w:sz w:val="20"/>
                <w:szCs w:val="20"/>
                <w:lang w:eastAsia="en-GB" w:bidi="ar-SA"/>
              </w:rPr>
            </w:pPr>
            <w:r>
              <w:rPr>
                <w:rFonts w:cs="Arial"/>
                <w:sz w:val="20"/>
                <w:szCs w:val="20"/>
                <w:lang w:eastAsia="en-GB" w:bidi="ar-SA"/>
              </w:rPr>
              <w:t>The foods which comply with the EFC are of low potential risk. FSANZ considers a proportionate appro</w:t>
            </w:r>
            <w:r w:rsidR="00697624">
              <w:rPr>
                <w:rFonts w:cs="Arial"/>
                <w:sz w:val="20"/>
                <w:szCs w:val="20"/>
                <w:lang w:eastAsia="en-GB" w:bidi="ar-SA"/>
              </w:rPr>
              <w:t>ach is suitable for these foods</w:t>
            </w:r>
            <w:r>
              <w:rPr>
                <w:rFonts w:cs="Arial"/>
                <w:sz w:val="20"/>
                <w:szCs w:val="20"/>
                <w:lang w:eastAsia="en-GB" w:bidi="ar-SA"/>
              </w:rPr>
              <w:t xml:space="preserve">. This is </w:t>
            </w:r>
            <w:r w:rsidR="00697624">
              <w:rPr>
                <w:rFonts w:cs="Arial"/>
                <w:sz w:val="20"/>
                <w:szCs w:val="20"/>
                <w:lang w:eastAsia="en-GB" w:bidi="ar-SA"/>
              </w:rPr>
              <w:t xml:space="preserve">comparable to </w:t>
            </w:r>
            <w:r>
              <w:rPr>
                <w:rFonts w:cs="Arial"/>
                <w:sz w:val="20"/>
                <w:szCs w:val="20"/>
                <w:lang w:eastAsia="en-GB" w:bidi="ar-SA"/>
              </w:rPr>
              <w:t xml:space="preserve">the current approach, where not all new foods are considered ’novel’. </w:t>
            </w:r>
            <w:r w:rsidR="00302E1F">
              <w:rPr>
                <w:rFonts w:cs="Arial"/>
                <w:sz w:val="20"/>
                <w:szCs w:val="20"/>
                <w:lang w:eastAsia="en-GB" w:bidi="ar-SA"/>
              </w:rPr>
              <w:t xml:space="preserve">  </w:t>
            </w:r>
          </w:p>
          <w:p w14:paraId="04EA4612" w14:textId="77777777" w:rsidR="00302E1F" w:rsidRDefault="00302E1F" w:rsidP="007B78F5">
            <w:pPr>
              <w:widowControl/>
              <w:autoSpaceDE w:val="0"/>
              <w:autoSpaceDN w:val="0"/>
              <w:adjustRightInd w:val="0"/>
              <w:rPr>
                <w:rFonts w:cs="Arial"/>
                <w:sz w:val="20"/>
                <w:szCs w:val="20"/>
                <w:lang w:eastAsia="en-GB" w:bidi="ar-SA"/>
              </w:rPr>
            </w:pPr>
          </w:p>
          <w:p w14:paraId="7CBAD2D2" w14:textId="77777777" w:rsidR="00697624" w:rsidRDefault="00302E1F" w:rsidP="00302E1F">
            <w:pPr>
              <w:widowControl/>
              <w:autoSpaceDE w:val="0"/>
              <w:autoSpaceDN w:val="0"/>
              <w:adjustRightInd w:val="0"/>
              <w:rPr>
                <w:rFonts w:cs="Arial"/>
                <w:sz w:val="20"/>
                <w:szCs w:val="20"/>
                <w:lang w:eastAsia="en-GB" w:bidi="ar-SA"/>
              </w:rPr>
            </w:pPr>
            <w:r>
              <w:rPr>
                <w:rFonts w:cs="Arial"/>
                <w:sz w:val="20"/>
                <w:szCs w:val="20"/>
                <w:lang w:eastAsia="en-GB" w:bidi="ar-SA"/>
              </w:rPr>
              <w:t>The modified framework would enable</w:t>
            </w:r>
            <w:r w:rsidR="000B462A">
              <w:rPr>
                <w:rFonts w:cs="Arial"/>
                <w:sz w:val="20"/>
                <w:szCs w:val="20"/>
                <w:lang w:eastAsia="en-GB" w:bidi="ar-SA"/>
              </w:rPr>
              <w:t xml:space="preserve"> jurisdictions to request the </w:t>
            </w:r>
            <w:r w:rsidR="00697624">
              <w:rPr>
                <w:rFonts w:cs="Arial"/>
                <w:sz w:val="20"/>
                <w:szCs w:val="20"/>
                <w:lang w:eastAsia="en-GB" w:bidi="ar-SA"/>
              </w:rPr>
              <w:t>required information from industry to ensure the requirements that will be set out in the Code are met</w:t>
            </w:r>
            <w:r w:rsidR="000B462A">
              <w:rPr>
                <w:rFonts w:cs="Arial"/>
                <w:sz w:val="20"/>
                <w:szCs w:val="20"/>
                <w:lang w:eastAsia="en-GB" w:bidi="ar-SA"/>
              </w:rPr>
              <w:t>.</w:t>
            </w:r>
          </w:p>
          <w:p w14:paraId="0F6C52EC" w14:textId="6E52E227" w:rsidR="00FE5B17" w:rsidRDefault="00FE5B17" w:rsidP="00302E1F">
            <w:pPr>
              <w:widowControl/>
              <w:autoSpaceDE w:val="0"/>
              <w:autoSpaceDN w:val="0"/>
              <w:adjustRightInd w:val="0"/>
              <w:rPr>
                <w:rFonts w:cs="Arial"/>
                <w:color w:val="000000"/>
                <w:sz w:val="20"/>
                <w:szCs w:val="20"/>
                <w:lang w:eastAsia="en-GB" w:bidi="ar-SA"/>
              </w:rPr>
            </w:pPr>
          </w:p>
        </w:tc>
      </w:tr>
      <w:tr w:rsidR="000B462A" w:rsidRPr="00A15CB9" w14:paraId="01E7F9A7" w14:textId="77777777" w:rsidTr="00072CC7">
        <w:trPr>
          <w:trHeight w:val="346"/>
        </w:trPr>
        <w:tc>
          <w:tcPr>
            <w:tcW w:w="14175" w:type="dxa"/>
            <w:gridSpan w:val="4"/>
            <w:shd w:val="clear" w:color="auto" w:fill="EAF1DD" w:themeFill="accent3" w:themeFillTint="33"/>
            <w:vAlign w:val="center"/>
          </w:tcPr>
          <w:p w14:paraId="0481C826" w14:textId="7FF717B6" w:rsidR="000B462A" w:rsidRDefault="000B462A" w:rsidP="00FE5B17">
            <w:pPr>
              <w:pageBreakBefore/>
              <w:widowControl/>
              <w:autoSpaceDE w:val="0"/>
              <w:autoSpaceDN w:val="0"/>
              <w:adjustRightInd w:val="0"/>
              <w:rPr>
                <w:rFonts w:cs="Arial"/>
                <w:color w:val="000000"/>
                <w:sz w:val="20"/>
                <w:szCs w:val="20"/>
                <w:lang w:eastAsia="en-GB" w:bidi="ar-SA"/>
              </w:rPr>
            </w:pPr>
            <w:r w:rsidRPr="00A15CB9">
              <w:rPr>
                <w:rFonts w:cs="Arial"/>
                <w:b/>
                <w:iCs/>
                <w:sz w:val="20"/>
                <w:szCs w:val="20"/>
                <w:lang w:eastAsia="en-GB" w:bidi="ar-SA"/>
              </w:rPr>
              <w:lastRenderedPageBreak/>
              <w:t>CFS Question: Do you have suggestions for the type of foods that would not meet the EFC, but may be suitable for industry self-assessment?</w:t>
            </w:r>
          </w:p>
        </w:tc>
      </w:tr>
      <w:tr w:rsidR="000B462A" w:rsidRPr="00A15CB9" w14:paraId="5B56BBB1" w14:textId="77777777" w:rsidTr="00072CC7">
        <w:tc>
          <w:tcPr>
            <w:tcW w:w="2189" w:type="dxa"/>
            <w:shd w:val="clear" w:color="auto" w:fill="auto"/>
          </w:tcPr>
          <w:p w14:paraId="7FA9A39A" w14:textId="3CFFA940" w:rsidR="000B462A" w:rsidRPr="00A15CB9" w:rsidRDefault="000B462A" w:rsidP="005554C7">
            <w:pPr>
              <w:rPr>
                <w:rFonts w:cs="Arial"/>
                <w:sz w:val="20"/>
                <w:szCs w:val="20"/>
                <w:lang w:eastAsia="en-AU" w:bidi="ar-SA"/>
              </w:rPr>
            </w:pPr>
            <w:r w:rsidRPr="00A15CB9">
              <w:rPr>
                <w:sz w:val="20"/>
                <w:szCs w:val="20"/>
              </w:rPr>
              <w:t xml:space="preserve">Not meet EFC, but </w:t>
            </w:r>
            <w:r w:rsidRPr="00A15CB9">
              <w:rPr>
                <w:sz w:val="20"/>
                <w:szCs w:val="20"/>
                <w:u w:val="single"/>
              </w:rPr>
              <w:t xml:space="preserve">are </w:t>
            </w:r>
            <w:r w:rsidRPr="00A15CB9">
              <w:rPr>
                <w:sz w:val="20"/>
                <w:szCs w:val="20"/>
              </w:rPr>
              <w:t>suitable</w:t>
            </w:r>
          </w:p>
        </w:tc>
        <w:tc>
          <w:tcPr>
            <w:tcW w:w="1202" w:type="dxa"/>
            <w:shd w:val="clear" w:color="auto" w:fill="auto"/>
          </w:tcPr>
          <w:p w14:paraId="29F65A0F" w14:textId="370CC827" w:rsidR="000B462A" w:rsidRPr="00A15CB9" w:rsidRDefault="000B462A" w:rsidP="005554C7">
            <w:pPr>
              <w:rPr>
                <w:rFonts w:cs="Arial"/>
                <w:sz w:val="20"/>
                <w:szCs w:val="20"/>
              </w:rPr>
            </w:pPr>
            <w:r w:rsidRPr="00A15CB9">
              <w:rPr>
                <w:sz w:val="20"/>
                <w:szCs w:val="20"/>
              </w:rPr>
              <w:t xml:space="preserve">INC, </w:t>
            </w:r>
            <w:r>
              <w:rPr>
                <w:sz w:val="20"/>
                <w:szCs w:val="20"/>
              </w:rPr>
              <w:t>N</w:t>
            </w:r>
            <w:r w:rsidRPr="00A15CB9">
              <w:rPr>
                <w:sz w:val="20"/>
                <w:szCs w:val="20"/>
              </w:rPr>
              <w:t>estlé</w:t>
            </w:r>
          </w:p>
        </w:tc>
        <w:tc>
          <w:tcPr>
            <w:tcW w:w="7954" w:type="dxa"/>
            <w:shd w:val="clear" w:color="auto" w:fill="auto"/>
          </w:tcPr>
          <w:p w14:paraId="6AE9C8BD" w14:textId="00675A16" w:rsidR="000B462A" w:rsidRPr="00A15CB9" w:rsidRDefault="000B462A" w:rsidP="005554C7">
            <w:pPr>
              <w:widowControl/>
              <w:autoSpaceDE w:val="0"/>
              <w:autoSpaceDN w:val="0"/>
              <w:adjustRightInd w:val="0"/>
              <w:rPr>
                <w:rFonts w:cs="Arial"/>
                <w:color w:val="000000"/>
                <w:sz w:val="20"/>
                <w:szCs w:val="20"/>
                <w:lang w:eastAsia="en-GB" w:bidi="ar-SA"/>
              </w:rPr>
            </w:pPr>
            <w:r w:rsidRPr="009D0C23">
              <w:rPr>
                <w:rFonts w:eastAsiaTheme="minorHAnsi"/>
                <w:sz w:val="20"/>
                <w:lang w:eastAsia="en-GB"/>
              </w:rPr>
              <w:t>New foods or substances permitted elsewhere (INC, Nestlé),</w:t>
            </w:r>
            <w:r w:rsidRPr="009D0C23">
              <w:rPr>
                <w:rFonts w:eastAsiaTheme="minorHAnsi"/>
                <w:sz w:val="20"/>
              </w:rPr>
              <w:t xml:space="preserve"> such as Codex, EU and US GRAS (INC).</w:t>
            </w:r>
          </w:p>
        </w:tc>
        <w:tc>
          <w:tcPr>
            <w:tcW w:w="2830" w:type="dxa"/>
          </w:tcPr>
          <w:p w14:paraId="094CF1ED" w14:textId="77777777" w:rsidR="00FE5B17" w:rsidRDefault="00697624" w:rsidP="00FE5B17">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 xml:space="preserve">FSANZ </w:t>
            </w:r>
            <w:r w:rsidR="00393EFE">
              <w:rPr>
                <w:rFonts w:cs="Arial"/>
                <w:color w:val="000000"/>
                <w:sz w:val="20"/>
                <w:szCs w:val="20"/>
                <w:lang w:eastAsia="en-GB" w:bidi="ar-SA"/>
              </w:rPr>
              <w:t>will give</w:t>
            </w:r>
            <w:r>
              <w:rPr>
                <w:rFonts w:cs="Arial"/>
                <w:color w:val="000000"/>
                <w:sz w:val="20"/>
                <w:szCs w:val="20"/>
                <w:lang w:eastAsia="en-GB" w:bidi="ar-SA"/>
              </w:rPr>
              <w:t xml:space="preserve"> further consideration to overseas assessments and approvals </w:t>
            </w:r>
            <w:r w:rsidR="00231BCA">
              <w:rPr>
                <w:rFonts w:cs="Arial"/>
                <w:color w:val="000000"/>
                <w:sz w:val="20"/>
                <w:szCs w:val="20"/>
                <w:lang w:eastAsia="en-GB" w:bidi="ar-SA"/>
              </w:rPr>
              <w:t xml:space="preserve">during the next stage of the </w:t>
            </w:r>
            <w:r w:rsidR="00FE5B17">
              <w:rPr>
                <w:rFonts w:cs="Arial"/>
                <w:color w:val="000000"/>
                <w:sz w:val="20"/>
                <w:szCs w:val="20"/>
                <w:lang w:eastAsia="en-GB" w:bidi="ar-SA"/>
              </w:rPr>
              <w:t>P</w:t>
            </w:r>
            <w:r w:rsidR="00231BCA">
              <w:rPr>
                <w:rFonts w:cs="Arial"/>
                <w:color w:val="000000"/>
                <w:sz w:val="20"/>
                <w:szCs w:val="20"/>
                <w:lang w:eastAsia="en-GB" w:bidi="ar-SA"/>
              </w:rPr>
              <w:t>roposal</w:t>
            </w:r>
            <w:r>
              <w:rPr>
                <w:rFonts w:cs="Arial"/>
                <w:color w:val="000000"/>
                <w:sz w:val="20"/>
                <w:szCs w:val="20"/>
                <w:lang w:eastAsia="en-GB" w:bidi="ar-SA"/>
              </w:rPr>
              <w:t>.</w:t>
            </w:r>
          </w:p>
          <w:p w14:paraId="25C6EBF4" w14:textId="040685F0" w:rsidR="000B462A" w:rsidRDefault="000B462A" w:rsidP="00FE5B17">
            <w:pPr>
              <w:widowControl/>
              <w:autoSpaceDE w:val="0"/>
              <w:autoSpaceDN w:val="0"/>
              <w:adjustRightInd w:val="0"/>
              <w:rPr>
                <w:rFonts w:cs="Arial"/>
                <w:color w:val="000000"/>
                <w:sz w:val="20"/>
                <w:szCs w:val="20"/>
                <w:lang w:eastAsia="en-GB" w:bidi="ar-SA"/>
              </w:rPr>
            </w:pPr>
          </w:p>
        </w:tc>
      </w:tr>
      <w:tr w:rsidR="000B462A" w:rsidRPr="00A15CB9" w14:paraId="30ADC643" w14:textId="77777777" w:rsidTr="00072CC7">
        <w:trPr>
          <w:trHeight w:val="346"/>
        </w:trPr>
        <w:tc>
          <w:tcPr>
            <w:tcW w:w="14175" w:type="dxa"/>
            <w:gridSpan w:val="4"/>
            <w:shd w:val="clear" w:color="auto" w:fill="EAF1DD" w:themeFill="accent3" w:themeFillTint="33"/>
            <w:vAlign w:val="center"/>
          </w:tcPr>
          <w:p w14:paraId="079D17FC" w14:textId="592107F6" w:rsidR="000B462A" w:rsidRDefault="000B462A" w:rsidP="00393EFE">
            <w:pPr>
              <w:keepNext/>
              <w:widowControl/>
              <w:autoSpaceDE w:val="0"/>
              <w:autoSpaceDN w:val="0"/>
              <w:adjustRightInd w:val="0"/>
              <w:rPr>
                <w:rFonts w:cs="Arial"/>
                <w:color w:val="000000"/>
                <w:sz w:val="20"/>
                <w:szCs w:val="20"/>
                <w:lang w:eastAsia="en-GB" w:bidi="ar-SA"/>
              </w:rPr>
            </w:pPr>
            <w:r w:rsidRPr="00A15CB9">
              <w:rPr>
                <w:rFonts w:cs="Arial"/>
                <w:b/>
                <w:iCs/>
                <w:sz w:val="20"/>
                <w:szCs w:val="20"/>
                <w:lang w:eastAsia="en-GB" w:bidi="ar-SA"/>
              </w:rPr>
              <w:t>CFS Question: Please provide details of how a self-assessment pathway may or may not provide benefits to industry.</w:t>
            </w:r>
          </w:p>
        </w:tc>
      </w:tr>
      <w:tr w:rsidR="00E14548" w:rsidRPr="00A15CB9" w14:paraId="0AA70AF8" w14:textId="77777777" w:rsidTr="00072CC7">
        <w:tc>
          <w:tcPr>
            <w:tcW w:w="2189" w:type="dxa"/>
            <w:shd w:val="clear" w:color="auto" w:fill="auto"/>
          </w:tcPr>
          <w:p w14:paraId="73E0C43F" w14:textId="3C929440" w:rsidR="00E14548" w:rsidRPr="00A15CB9" w:rsidRDefault="00E14548" w:rsidP="005554C7">
            <w:pPr>
              <w:rPr>
                <w:rFonts w:cs="Arial"/>
                <w:sz w:val="20"/>
                <w:szCs w:val="20"/>
                <w:lang w:eastAsia="en-AU" w:bidi="ar-SA"/>
              </w:rPr>
            </w:pPr>
            <w:r w:rsidRPr="00A15CB9">
              <w:rPr>
                <w:rFonts w:cs="Arial"/>
                <w:sz w:val="20"/>
                <w:szCs w:val="20"/>
              </w:rPr>
              <w:t>Reduced time to market</w:t>
            </w:r>
          </w:p>
        </w:tc>
        <w:tc>
          <w:tcPr>
            <w:tcW w:w="1202" w:type="dxa"/>
            <w:shd w:val="clear" w:color="auto" w:fill="auto"/>
          </w:tcPr>
          <w:p w14:paraId="10D59296" w14:textId="5E4E3E14" w:rsidR="00E14548" w:rsidRPr="00A15CB9" w:rsidRDefault="00E14548" w:rsidP="005554C7">
            <w:pPr>
              <w:rPr>
                <w:rFonts w:cs="Arial"/>
                <w:sz w:val="20"/>
                <w:szCs w:val="20"/>
              </w:rPr>
            </w:pPr>
            <w:r w:rsidRPr="00A15CB9">
              <w:rPr>
                <w:sz w:val="20"/>
                <w:szCs w:val="20"/>
              </w:rPr>
              <w:t>ABC, AFGC, Dairy, Nestlé, NZMPI, TGB, Unilever</w:t>
            </w:r>
          </w:p>
        </w:tc>
        <w:tc>
          <w:tcPr>
            <w:tcW w:w="7954" w:type="dxa"/>
            <w:shd w:val="clear" w:color="auto" w:fill="auto"/>
          </w:tcPr>
          <w:p w14:paraId="7AB07581" w14:textId="549BD59B" w:rsidR="00E14548" w:rsidRDefault="00E14548" w:rsidP="00997CA5">
            <w:pPr>
              <w:autoSpaceDE w:val="0"/>
              <w:autoSpaceDN w:val="0"/>
              <w:adjustRightInd w:val="0"/>
              <w:rPr>
                <w:rFonts w:cs="Arial"/>
                <w:sz w:val="20"/>
                <w:szCs w:val="20"/>
                <w:lang w:eastAsia="en-GB"/>
              </w:rPr>
            </w:pPr>
            <w:r w:rsidRPr="00A15CB9">
              <w:rPr>
                <w:rFonts w:cs="Arial"/>
                <w:sz w:val="20"/>
                <w:szCs w:val="20"/>
                <w:lang w:eastAsia="en-GB"/>
              </w:rPr>
              <w:t>Time to market would be reduced over the current application process.</w:t>
            </w:r>
          </w:p>
          <w:p w14:paraId="795E71EC" w14:textId="77777777" w:rsidR="00FE5B17" w:rsidRPr="00A15CB9" w:rsidRDefault="00FE5B17" w:rsidP="00997CA5">
            <w:pPr>
              <w:autoSpaceDE w:val="0"/>
              <w:autoSpaceDN w:val="0"/>
              <w:adjustRightInd w:val="0"/>
              <w:rPr>
                <w:rFonts w:cs="Arial"/>
                <w:sz w:val="20"/>
                <w:szCs w:val="20"/>
                <w:lang w:eastAsia="en-GB"/>
              </w:rPr>
            </w:pPr>
          </w:p>
          <w:p w14:paraId="5E98D9CF" w14:textId="77777777" w:rsidR="00E14548" w:rsidRPr="009D0C23" w:rsidRDefault="00E14548"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The current process involves a delay while the application sits on the waiting list (if not a paid application) and is then assessed by FSANZ (ABC, AFGC, Dairy, TGB, Unilever). Would allow for a reduced time to product launch (Nestlé).</w:t>
            </w:r>
          </w:p>
          <w:p w14:paraId="28E8D575" w14:textId="77777777" w:rsidR="00E14548" w:rsidRPr="009D0C23" w:rsidRDefault="00E14548" w:rsidP="00FE5B17">
            <w:pPr>
              <w:pStyle w:val="FSBullet1"/>
              <w:numPr>
                <w:ilvl w:val="0"/>
                <w:numId w:val="11"/>
              </w:numPr>
              <w:ind w:left="284" w:hanging="284"/>
              <w:rPr>
                <w:rFonts w:eastAsiaTheme="minorHAnsi"/>
                <w:sz w:val="20"/>
                <w:lang w:eastAsia="en-GB"/>
              </w:rPr>
            </w:pPr>
            <w:r w:rsidRPr="009D0C23">
              <w:rPr>
                <w:rFonts w:eastAsiaTheme="minorHAnsi"/>
                <w:color w:val="000000"/>
                <w:sz w:val="20"/>
                <w:lang w:eastAsia="en-GB"/>
              </w:rPr>
              <w:t>NZMPI added the caveat that the reduced time would depend on whether the food regulators/authorities are able to assess dossiers without undue delay.</w:t>
            </w:r>
          </w:p>
          <w:p w14:paraId="0751BBA1" w14:textId="77777777" w:rsidR="00E14548" w:rsidRPr="009D0C23" w:rsidRDefault="00E14548"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 xml:space="preserve">There could also be less development time for product manufacturers if novel food suppliers already have dossier prepared (AFGC). </w:t>
            </w:r>
          </w:p>
          <w:p w14:paraId="6C6534F8"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01ADFBF1" w14:textId="41532927" w:rsidR="00E14548" w:rsidRDefault="00D61C57" w:rsidP="000B462A">
            <w:pPr>
              <w:widowControl/>
              <w:autoSpaceDE w:val="0"/>
              <w:autoSpaceDN w:val="0"/>
              <w:adjustRightInd w:val="0"/>
              <w:rPr>
                <w:rFonts w:cs="Arial"/>
                <w:color w:val="000000"/>
                <w:sz w:val="20"/>
                <w:szCs w:val="20"/>
                <w:lang w:eastAsia="en-GB" w:bidi="ar-SA"/>
              </w:rPr>
            </w:pPr>
            <w:r>
              <w:rPr>
                <w:rFonts w:cs="Arial"/>
                <w:sz w:val="20"/>
                <w:szCs w:val="20"/>
                <w:lang w:eastAsia="en-GB"/>
              </w:rPr>
              <w:t>Noted. However, see responses above in relation to the self-assessment pathway.</w:t>
            </w:r>
          </w:p>
        </w:tc>
      </w:tr>
      <w:tr w:rsidR="00E14548" w:rsidRPr="00A15CB9" w14:paraId="2846AB4F" w14:textId="77777777" w:rsidTr="00072CC7">
        <w:tc>
          <w:tcPr>
            <w:tcW w:w="2189" w:type="dxa"/>
            <w:shd w:val="clear" w:color="auto" w:fill="auto"/>
          </w:tcPr>
          <w:p w14:paraId="180573E6" w14:textId="0A924A3C" w:rsidR="00E14548" w:rsidRPr="00A15CB9" w:rsidRDefault="00E14548" w:rsidP="005554C7">
            <w:pPr>
              <w:rPr>
                <w:rFonts w:cs="Arial"/>
                <w:sz w:val="20"/>
                <w:szCs w:val="20"/>
                <w:lang w:eastAsia="en-AU" w:bidi="ar-SA"/>
              </w:rPr>
            </w:pPr>
            <w:r w:rsidRPr="00A15CB9">
              <w:rPr>
                <w:rFonts w:cs="Arial"/>
                <w:iCs/>
                <w:sz w:val="20"/>
                <w:szCs w:val="20"/>
                <w:lang w:eastAsia="en-GB" w:bidi="ar-SA"/>
              </w:rPr>
              <w:t>Increase access to overseas products</w:t>
            </w:r>
          </w:p>
        </w:tc>
        <w:tc>
          <w:tcPr>
            <w:tcW w:w="1202" w:type="dxa"/>
            <w:shd w:val="clear" w:color="auto" w:fill="auto"/>
          </w:tcPr>
          <w:p w14:paraId="243C0BBC" w14:textId="29368770" w:rsidR="00E14548" w:rsidRPr="00A15CB9" w:rsidRDefault="00E14548" w:rsidP="005554C7">
            <w:pPr>
              <w:rPr>
                <w:rFonts w:cs="Arial"/>
                <w:sz w:val="20"/>
                <w:szCs w:val="20"/>
              </w:rPr>
            </w:pPr>
            <w:r w:rsidRPr="00A15CB9">
              <w:rPr>
                <w:sz w:val="20"/>
                <w:szCs w:val="20"/>
              </w:rPr>
              <w:t>ABC, Dairy, Nestlé</w:t>
            </w:r>
          </w:p>
        </w:tc>
        <w:tc>
          <w:tcPr>
            <w:tcW w:w="7954" w:type="dxa"/>
            <w:shd w:val="clear" w:color="auto" w:fill="auto"/>
          </w:tcPr>
          <w:p w14:paraId="2BF68A89" w14:textId="682DFF91" w:rsidR="00E14548" w:rsidRPr="00A15CB9" w:rsidRDefault="00E14548" w:rsidP="00997CA5">
            <w:pPr>
              <w:autoSpaceDE w:val="0"/>
              <w:autoSpaceDN w:val="0"/>
              <w:adjustRightInd w:val="0"/>
              <w:rPr>
                <w:sz w:val="20"/>
                <w:szCs w:val="20"/>
              </w:rPr>
            </w:pPr>
            <w:r w:rsidRPr="00A15CB9">
              <w:rPr>
                <w:sz w:val="20"/>
                <w:szCs w:val="20"/>
              </w:rPr>
              <w:t xml:space="preserve">May encourage companies to bring food products to Australia and New Zealand that are currently available overseas, however the </w:t>
            </w:r>
            <w:r w:rsidR="00D60E7A">
              <w:rPr>
                <w:sz w:val="20"/>
                <w:szCs w:val="20"/>
              </w:rPr>
              <w:t xml:space="preserve">current </w:t>
            </w:r>
            <w:r w:rsidRPr="00A15CB9">
              <w:rPr>
                <w:sz w:val="20"/>
                <w:szCs w:val="20"/>
              </w:rPr>
              <w:t>application process makes it too burdensome to do so.</w:t>
            </w:r>
          </w:p>
          <w:p w14:paraId="2E9AE239"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06E55DA8" w14:textId="668E270B" w:rsidR="00E14548" w:rsidRDefault="00E14548" w:rsidP="000B462A">
            <w:pPr>
              <w:widowControl/>
              <w:autoSpaceDE w:val="0"/>
              <w:autoSpaceDN w:val="0"/>
              <w:adjustRightInd w:val="0"/>
              <w:rPr>
                <w:rFonts w:cs="Arial"/>
                <w:color w:val="000000"/>
                <w:sz w:val="20"/>
                <w:szCs w:val="20"/>
                <w:lang w:eastAsia="en-GB" w:bidi="ar-SA"/>
              </w:rPr>
            </w:pPr>
            <w:r>
              <w:rPr>
                <w:sz w:val="20"/>
                <w:szCs w:val="20"/>
              </w:rPr>
              <w:t>Addressed above</w:t>
            </w:r>
            <w:r w:rsidR="00697624">
              <w:rPr>
                <w:sz w:val="20"/>
                <w:szCs w:val="20"/>
              </w:rPr>
              <w:t>.</w:t>
            </w:r>
          </w:p>
        </w:tc>
      </w:tr>
      <w:tr w:rsidR="00E14548" w:rsidRPr="00A15CB9" w14:paraId="3EA75041" w14:textId="77777777" w:rsidTr="00072CC7">
        <w:tc>
          <w:tcPr>
            <w:tcW w:w="2189" w:type="dxa"/>
            <w:shd w:val="clear" w:color="auto" w:fill="auto"/>
          </w:tcPr>
          <w:p w14:paraId="0C003950" w14:textId="68E54BEE" w:rsidR="00E14548" w:rsidRPr="00A15CB9" w:rsidRDefault="00E14548" w:rsidP="005554C7">
            <w:pPr>
              <w:rPr>
                <w:rFonts w:cs="Arial"/>
                <w:sz w:val="20"/>
                <w:szCs w:val="20"/>
                <w:lang w:eastAsia="en-AU" w:bidi="ar-SA"/>
              </w:rPr>
            </w:pPr>
            <w:r w:rsidRPr="00A15CB9">
              <w:rPr>
                <w:rFonts w:cs="Arial"/>
                <w:iCs/>
                <w:sz w:val="20"/>
                <w:szCs w:val="20"/>
                <w:lang w:eastAsia="en-GB" w:bidi="ar-SA"/>
              </w:rPr>
              <w:t>Innovation</w:t>
            </w:r>
          </w:p>
        </w:tc>
        <w:tc>
          <w:tcPr>
            <w:tcW w:w="1202" w:type="dxa"/>
            <w:shd w:val="clear" w:color="auto" w:fill="auto"/>
          </w:tcPr>
          <w:p w14:paraId="35E3D250" w14:textId="77777777" w:rsidR="00E14548" w:rsidRDefault="00E14548" w:rsidP="005554C7">
            <w:pPr>
              <w:rPr>
                <w:sz w:val="20"/>
                <w:szCs w:val="20"/>
              </w:rPr>
            </w:pPr>
            <w:r w:rsidRPr="00A15CB9">
              <w:rPr>
                <w:sz w:val="20"/>
                <w:szCs w:val="20"/>
              </w:rPr>
              <w:t>DCANZ, Frucor, Nestlé</w:t>
            </w:r>
          </w:p>
          <w:p w14:paraId="7FA374AC" w14:textId="08D03091" w:rsidR="00FE5B17" w:rsidRPr="00A15CB9" w:rsidRDefault="00FE5B17" w:rsidP="005554C7">
            <w:pPr>
              <w:rPr>
                <w:rFonts w:cs="Arial"/>
                <w:sz w:val="20"/>
                <w:szCs w:val="20"/>
              </w:rPr>
            </w:pPr>
          </w:p>
        </w:tc>
        <w:tc>
          <w:tcPr>
            <w:tcW w:w="7954" w:type="dxa"/>
            <w:shd w:val="clear" w:color="auto" w:fill="auto"/>
          </w:tcPr>
          <w:p w14:paraId="49806997" w14:textId="77777777" w:rsidR="00E14548" w:rsidRPr="00A15CB9" w:rsidRDefault="00E14548" w:rsidP="00997CA5">
            <w:pPr>
              <w:widowControl/>
              <w:autoSpaceDE w:val="0"/>
              <w:autoSpaceDN w:val="0"/>
              <w:adjustRightInd w:val="0"/>
              <w:rPr>
                <w:sz w:val="20"/>
                <w:szCs w:val="20"/>
              </w:rPr>
            </w:pPr>
            <w:r w:rsidRPr="00A15CB9">
              <w:rPr>
                <w:sz w:val="20"/>
                <w:szCs w:val="20"/>
              </w:rPr>
              <w:t>The benefits to industry would be flexibility for innovation.</w:t>
            </w:r>
          </w:p>
          <w:p w14:paraId="3CBFD6AE"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269BB624" w14:textId="767CBB8B" w:rsidR="00E14548" w:rsidRDefault="00E14548" w:rsidP="000B462A">
            <w:pPr>
              <w:widowControl/>
              <w:autoSpaceDE w:val="0"/>
              <w:autoSpaceDN w:val="0"/>
              <w:adjustRightInd w:val="0"/>
              <w:rPr>
                <w:rFonts w:cs="Arial"/>
                <w:color w:val="000000"/>
                <w:sz w:val="20"/>
                <w:szCs w:val="20"/>
                <w:lang w:eastAsia="en-GB" w:bidi="ar-SA"/>
              </w:rPr>
            </w:pPr>
            <w:r>
              <w:rPr>
                <w:sz w:val="20"/>
                <w:szCs w:val="20"/>
              </w:rPr>
              <w:t>Noted</w:t>
            </w:r>
            <w:r w:rsidR="00697624">
              <w:rPr>
                <w:sz w:val="20"/>
                <w:szCs w:val="20"/>
              </w:rPr>
              <w:t>.</w:t>
            </w:r>
          </w:p>
        </w:tc>
      </w:tr>
      <w:tr w:rsidR="00E14548" w:rsidRPr="00A15CB9" w14:paraId="4DC16360" w14:textId="77777777" w:rsidTr="00072CC7">
        <w:tc>
          <w:tcPr>
            <w:tcW w:w="2189" w:type="dxa"/>
            <w:shd w:val="clear" w:color="auto" w:fill="auto"/>
          </w:tcPr>
          <w:p w14:paraId="33BEAAE6" w14:textId="1830224D" w:rsidR="00E14548" w:rsidRPr="00A15CB9" w:rsidRDefault="00E14548" w:rsidP="005554C7">
            <w:pPr>
              <w:rPr>
                <w:rFonts w:cs="Arial"/>
                <w:sz w:val="20"/>
                <w:szCs w:val="20"/>
                <w:lang w:eastAsia="en-AU" w:bidi="ar-SA"/>
              </w:rPr>
            </w:pPr>
            <w:r w:rsidRPr="00A15CB9">
              <w:rPr>
                <w:rFonts w:cs="Arial"/>
                <w:iCs/>
                <w:sz w:val="20"/>
                <w:szCs w:val="20"/>
                <w:lang w:eastAsia="en-GB" w:bidi="ar-SA"/>
              </w:rPr>
              <w:t>Regulatory certainty</w:t>
            </w:r>
          </w:p>
        </w:tc>
        <w:tc>
          <w:tcPr>
            <w:tcW w:w="1202" w:type="dxa"/>
            <w:shd w:val="clear" w:color="auto" w:fill="auto"/>
          </w:tcPr>
          <w:p w14:paraId="34AF18DD" w14:textId="09A09F65" w:rsidR="00E14548" w:rsidRPr="00A15CB9" w:rsidRDefault="00E14548" w:rsidP="005554C7">
            <w:pPr>
              <w:rPr>
                <w:rFonts w:cs="Arial"/>
                <w:sz w:val="20"/>
                <w:szCs w:val="20"/>
              </w:rPr>
            </w:pPr>
            <w:r w:rsidRPr="00A15CB9">
              <w:rPr>
                <w:sz w:val="20"/>
                <w:szCs w:val="20"/>
              </w:rPr>
              <w:t>NZMPI</w:t>
            </w:r>
          </w:p>
        </w:tc>
        <w:tc>
          <w:tcPr>
            <w:tcW w:w="7954" w:type="dxa"/>
            <w:shd w:val="clear" w:color="auto" w:fill="auto"/>
          </w:tcPr>
          <w:p w14:paraId="720F9ABD" w14:textId="77777777" w:rsidR="00E14548" w:rsidRPr="00A15CB9" w:rsidRDefault="00E14548" w:rsidP="00997CA5">
            <w:pPr>
              <w:widowControl/>
              <w:autoSpaceDE w:val="0"/>
              <w:autoSpaceDN w:val="0"/>
              <w:adjustRightInd w:val="0"/>
              <w:rPr>
                <w:rFonts w:cs="Arial"/>
                <w:color w:val="000000"/>
                <w:sz w:val="20"/>
                <w:szCs w:val="20"/>
                <w:lang w:eastAsia="en-GB" w:bidi="ar-SA"/>
              </w:rPr>
            </w:pPr>
            <w:r w:rsidRPr="00A15CB9">
              <w:rPr>
                <w:rFonts w:cs="Arial"/>
                <w:color w:val="000000"/>
                <w:sz w:val="20"/>
                <w:szCs w:val="20"/>
                <w:lang w:eastAsia="en-GB" w:bidi="ar-SA"/>
              </w:rPr>
              <w:t xml:space="preserve">Regulatory certainty would result if the assessment by the regulators/authorities has a legal status. Confidentiality throughout the regulators/authorities assessment phase and possibly for a period following notification would provide a substantial commercial benefit for industry. </w:t>
            </w:r>
          </w:p>
          <w:p w14:paraId="3C59B1EC"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580B8A31" w14:textId="2A33A893" w:rsidR="00E14548" w:rsidRDefault="00E14548" w:rsidP="000B462A">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Noted</w:t>
            </w:r>
            <w:r w:rsidR="00697624">
              <w:rPr>
                <w:rFonts w:cs="Arial"/>
                <w:color w:val="000000"/>
                <w:sz w:val="20"/>
                <w:szCs w:val="20"/>
                <w:lang w:eastAsia="en-GB" w:bidi="ar-SA"/>
              </w:rPr>
              <w:t>.</w:t>
            </w:r>
          </w:p>
        </w:tc>
      </w:tr>
      <w:tr w:rsidR="00E14548" w:rsidRPr="00A15CB9" w14:paraId="30874797" w14:textId="77777777" w:rsidTr="00072CC7">
        <w:tc>
          <w:tcPr>
            <w:tcW w:w="2189" w:type="dxa"/>
            <w:shd w:val="clear" w:color="auto" w:fill="auto"/>
          </w:tcPr>
          <w:p w14:paraId="341DB630" w14:textId="12043E6B" w:rsidR="00E14548" w:rsidRPr="00A15CB9" w:rsidRDefault="00E14548" w:rsidP="005554C7">
            <w:pPr>
              <w:rPr>
                <w:rFonts w:cs="Arial"/>
                <w:sz w:val="20"/>
                <w:szCs w:val="20"/>
                <w:lang w:eastAsia="en-AU" w:bidi="ar-SA"/>
              </w:rPr>
            </w:pPr>
            <w:r w:rsidRPr="00A15CB9">
              <w:rPr>
                <w:rFonts w:cs="Arial"/>
                <w:iCs/>
                <w:sz w:val="20"/>
                <w:szCs w:val="20"/>
                <w:lang w:eastAsia="en-GB" w:bidi="ar-SA"/>
              </w:rPr>
              <w:t>Reduced regulatory burden</w:t>
            </w:r>
          </w:p>
        </w:tc>
        <w:tc>
          <w:tcPr>
            <w:tcW w:w="1202" w:type="dxa"/>
            <w:shd w:val="clear" w:color="auto" w:fill="auto"/>
          </w:tcPr>
          <w:p w14:paraId="72E313B2" w14:textId="47DB4592" w:rsidR="00E14548" w:rsidRPr="00A15CB9" w:rsidRDefault="00E14548" w:rsidP="005554C7">
            <w:pPr>
              <w:rPr>
                <w:rFonts w:cs="Arial"/>
                <w:sz w:val="20"/>
                <w:szCs w:val="20"/>
              </w:rPr>
            </w:pPr>
            <w:r w:rsidRPr="00A15CB9">
              <w:rPr>
                <w:sz w:val="20"/>
                <w:szCs w:val="20"/>
              </w:rPr>
              <w:t>Comvita</w:t>
            </w:r>
          </w:p>
        </w:tc>
        <w:tc>
          <w:tcPr>
            <w:tcW w:w="7954" w:type="dxa"/>
            <w:shd w:val="clear" w:color="auto" w:fill="auto"/>
          </w:tcPr>
          <w:p w14:paraId="4208BC71" w14:textId="77777777" w:rsidR="00E14548" w:rsidRPr="00A15CB9" w:rsidRDefault="00E14548" w:rsidP="00997CA5">
            <w:pPr>
              <w:widowControl/>
              <w:autoSpaceDE w:val="0"/>
              <w:autoSpaceDN w:val="0"/>
              <w:adjustRightInd w:val="0"/>
              <w:rPr>
                <w:rFonts w:cs="Arial"/>
                <w:color w:val="000000"/>
                <w:sz w:val="20"/>
                <w:szCs w:val="20"/>
                <w:lang w:eastAsia="en-GB" w:bidi="ar-SA"/>
              </w:rPr>
            </w:pPr>
            <w:r w:rsidRPr="00A15CB9">
              <w:rPr>
                <w:rFonts w:cs="Arial"/>
                <w:color w:val="000000"/>
                <w:sz w:val="20"/>
                <w:szCs w:val="20"/>
                <w:lang w:eastAsia="en-GB" w:bidi="ar-SA"/>
              </w:rPr>
              <w:t xml:space="preserve">A level of accountability for the safety of low-risk non-eligible foods will be held across industry without the undue burden of pre-market approval. Could have the potential to lift the credibility of the industry as a whole. </w:t>
            </w:r>
          </w:p>
          <w:p w14:paraId="0C777FB7"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5F6B401B" w14:textId="1AD6EA98" w:rsidR="00E14548" w:rsidRDefault="00E14548" w:rsidP="000B462A">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Noted</w:t>
            </w:r>
            <w:r w:rsidR="00697624">
              <w:rPr>
                <w:rFonts w:cs="Arial"/>
                <w:color w:val="000000"/>
                <w:sz w:val="20"/>
                <w:szCs w:val="20"/>
                <w:lang w:eastAsia="en-GB" w:bidi="ar-SA"/>
              </w:rPr>
              <w:t>.</w:t>
            </w:r>
          </w:p>
        </w:tc>
      </w:tr>
      <w:tr w:rsidR="00E14548" w:rsidRPr="00A15CB9" w14:paraId="63E81C4D" w14:textId="77777777" w:rsidTr="00072CC7">
        <w:tc>
          <w:tcPr>
            <w:tcW w:w="2189" w:type="dxa"/>
            <w:shd w:val="clear" w:color="auto" w:fill="auto"/>
          </w:tcPr>
          <w:p w14:paraId="50D24864" w14:textId="7277880E" w:rsidR="00E14548" w:rsidRPr="00A15CB9" w:rsidRDefault="00E14548" w:rsidP="005554C7">
            <w:pPr>
              <w:rPr>
                <w:rFonts w:cs="Arial"/>
                <w:sz w:val="20"/>
                <w:szCs w:val="20"/>
                <w:lang w:eastAsia="en-AU" w:bidi="ar-SA"/>
              </w:rPr>
            </w:pPr>
            <w:r w:rsidRPr="00A15CB9">
              <w:rPr>
                <w:rFonts w:cs="Arial"/>
                <w:iCs/>
                <w:sz w:val="20"/>
                <w:szCs w:val="20"/>
                <w:lang w:eastAsia="en-GB" w:bidi="ar-SA"/>
              </w:rPr>
              <w:lastRenderedPageBreak/>
              <w:t>Potential negatives</w:t>
            </w:r>
          </w:p>
        </w:tc>
        <w:tc>
          <w:tcPr>
            <w:tcW w:w="1202" w:type="dxa"/>
            <w:shd w:val="clear" w:color="auto" w:fill="auto"/>
          </w:tcPr>
          <w:p w14:paraId="2E300AAE" w14:textId="6EAB7539" w:rsidR="00E14548" w:rsidRPr="00A15CB9" w:rsidRDefault="00E14548" w:rsidP="005554C7">
            <w:pPr>
              <w:rPr>
                <w:rFonts w:cs="Arial"/>
                <w:sz w:val="20"/>
                <w:szCs w:val="20"/>
              </w:rPr>
            </w:pPr>
            <w:r w:rsidRPr="00A15CB9">
              <w:rPr>
                <w:sz w:val="20"/>
                <w:szCs w:val="20"/>
              </w:rPr>
              <w:t>Nestlé, NZMPI</w:t>
            </w:r>
          </w:p>
        </w:tc>
        <w:tc>
          <w:tcPr>
            <w:tcW w:w="7954" w:type="dxa"/>
            <w:shd w:val="clear" w:color="auto" w:fill="auto"/>
          </w:tcPr>
          <w:p w14:paraId="42BCFA60" w14:textId="77777777" w:rsidR="00E14548" w:rsidRPr="009D0C23" w:rsidRDefault="00E14548" w:rsidP="00FE5B17">
            <w:pPr>
              <w:pStyle w:val="FSBullet1"/>
              <w:numPr>
                <w:ilvl w:val="0"/>
                <w:numId w:val="11"/>
              </w:numPr>
              <w:ind w:left="284" w:hanging="284"/>
              <w:rPr>
                <w:rFonts w:eastAsiaTheme="minorHAnsi" w:cstheme="minorBidi"/>
                <w:iCs/>
                <w:sz w:val="20"/>
              </w:rPr>
            </w:pPr>
            <w:r w:rsidRPr="009D0C23">
              <w:rPr>
                <w:rFonts w:eastAsiaTheme="minorHAnsi"/>
                <w:sz w:val="20"/>
                <w:lang w:eastAsia="en-GB"/>
              </w:rPr>
              <w:t>Food regulators / authorities need to have the resources and expertise to assess dossiers. Resourcing and expertise issues could make it more expedient for the food business to submit an application to FSANZ (NZMPI).</w:t>
            </w:r>
          </w:p>
          <w:p w14:paraId="66DE19A7" w14:textId="77777777" w:rsidR="00E14548" w:rsidRPr="009D0C23" w:rsidRDefault="00E14548" w:rsidP="00FE5B17">
            <w:pPr>
              <w:pStyle w:val="FSBullet1"/>
              <w:numPr>
                <w:ilvl w:val="0"/>
                <w:numId w:val="11"/>
              </w:numPr>
              <w:ind w:left="284" w:hanging="284"/>
              <w:rPr>
                <w:rFonts w:eastAsiaTheme="minorHAnsi" w:cstheme="minorBidi"/>
                <w:iCs/>
                <w:sz w:val="20"/>
              </w:rPr>
            </w:pPr>
            <w:r w:rsidRPr="009D0C23">
              <w:rPr>
                <w:rFonts w:eastAsiaTheme="minorHAnsi" w:cstheme="minorBidi"/>
                <w:iCs/>
                <w:sz w:val="20"/>
              </w:rPr>
              <w:t>Potential inconsistency in implementation leading to uneven playing field (Nestlé)</w:t>
            </w:r>
          </w:p>
          <w:p w14:paraId="718B0145" w14:textId="77777777" w:rsidR="00E14548" w:rsidRPr="009D0C23" w:rsidRDefault="00E14548" w:rsidP="00FE5B17">
            <w:pPr>
              <w:pStyle w:val="FSBullet1"/>
              <w:numPr>
                <w:ilvl w:val="0"/>
                <w:numId w:val="11"/>
              </w:numPr>
              <w:ind w:left="284" w:hanging="284"/>
              <w:rPr>
                <w:rFonts w:eastAsiaTheme="minorHAnsi" w:cstheme="minorBidi"/>
                <w:iCs/>
                <w:sz w:val="20"/>
              </w:rPr>
            </w:pPr>
            <w:r w:rsidRPr="009D0C23">
              <w:rPr>
                <w:rFonts w:eastAsiaTheme="minorHAnsi" w:cstheme="minorBidi"/>
                <w:iCs/>
                <w:sz w:val="20"/>
              </w:rPr>
              <w:t>Uneven technical capacity across the food industry (manufacturers / ingredient suppliers) (Nestlé)</w:t>
            </w:r>
          </w:p>
          <w:p w14:paraId="7CBC9997" w14:textId="77777777" w:rsidR="00E14548" w:rsidRPr="009D0C23" w:rsidRDefault="00E14548" w:rsidP="00FE5B17">
            <w:pPr>
              <w:pStyle w:val="FSBullet1"/>
              <w:numPr>
                <w:ilvl w:val="0"/>
                <w:numId w:val="11"/>
              </w:numPr>
              <w:ind w:left="284" w:hanging="284"/>
              <w:rPr>
                <w:rFonts w:eastAsiaTheme="minorHAnsi" w:cstheme="minorBidi"/>
                <w:iCs/>
                <w:sz w:val="20"/>
              </w:rPr>
            </w:pPr>
            <w:r w:rsidRPr="009D0C23">
              <w:rPr>
                <w:rFonts w:eastAsiaTheme="minorHAnsi" w:cstheme="minorBidi"/>
                <w:iCs/>
                <w:sz w:val="20"/>
              </w:rPr>
              <w:t>Reputational risk from vested interests challenging dossiers from a non-scientific position (Nestlé)</w:t>
            </w:r>
          </w:p>
          <w:p w14:paraId="76173035" w14:textId="24D4D30A" w:rsidR="00231BCA" w:rsidRPr="00FE5B17" w:rsidRDefault="00E14548" w:rsidP="00FE5B17">
            <w:pPr>
              <w:pStyle w:val="FSBullet1"/>
              <w:numPr>
                <w:ilvl w:val="0"/>
                <w:numId w:val="11"/>
              </w:numPr>
              <w:ind w:left="284" w:hanging="284"/>
              <w:rPr>
                <w:rFonts w:eastAsiaTheme="minorHAnsi"/>
              </w:rPr>
            </w:pPr>
            <w:r w:rsidRPr="00FE5B17">
              <w:rPr>
                <w:rFonts w:eastAsiaTheme="minorHAnsi" w:cstheme="minorBidi"/>
                <w:iCs/>
                <w:sz w:val="20"/>
              </w:rPr>
              <w:t>Potential loss of confidentiality or trade secrets leading to loss of opportunity to recoup R&amp;D investment (Nestlé).</w:t>
            </w:r>
          </w:p>
          <w:p w14:paraId="041693B3" w14:textId="77777777" w:rsidR="00E14548" w:rsidRPr="00A15CB9" w:rsidRDefault="00E14548" w:rsidP="005554C7">
            <w:pPr>
              <w:widowControl/>
              <w:autoSpaceDE w:val="0"/>
              <w:autoSpaceDN w:val="0"/>
              <w:adjustRightInd w:val="0"/>
              <w:rPr>
                <w:rFonts w:cs="Arial"/>
                <w:color w:val="000000"/>
                <w:sz w:val="20"/>
                <w:szCs w:val="20"/>
                <w:lang w:eastAsia="en-GB" w:bidi="ar-SA"/>
              </w:rPr>
            </w:pPr>
          </w:p>
        </w:tc>
        <w:tc>
          <w:tcPr>
            <w:tcW w:w="2830" w:type="dxa"/>
          </w:tcPr>
          <w:p w14:paraId="712CEF60" w14:textId="5D21D7EE" w:rsidR="00E14548" w:rsidRPr="008B25C9" w:rsidRDefault="00E14548" w:rsidP="000B462A">
            <w:pPr>
              <w:widowControl/>
              <w:autoSpaceDE w:val="0"/>
              <w:autoSpaceDN w:val="0"/>
              <w:adjustRightInd w:val="0"/>
              <w:contextualSpacing/>
              <w:rPr>
                <w:rFonts w:eastAsiaTheme="minorHAnsi" w:cs="Arial"/>
                <w:color w:val="000000"/>
                <w:sz w:val="20"/>
                <w:szCs w:val="20"/>
                <w:lang w:eastAsia="en-GB" w:bidi="ar-SA"/>
              </w:rPr>
            </w:pPr>
            <w:r>
              <w:rPr>
                <w:rFonts w:eastAsiaTheme="minorHAnsi" w:cs="Arial"/>
                <w:color w:val="000000"/>
                <w:sz w:val="20"/>
                <w:szCs w:val="20"/>
                <w:lang w:eastAsia="en-GB" w:bidi="ar-SA"/>
              </w:rPr>
              <w:t>Noted</w:t>
            </w:r>
            <w:r w:rsidR="008B25C9">
              <w:rPr>
                <w:rFonts w:eastAsiaTheme="minorHAnsi" w:cs="Arial"/>
                <w:color w:val="000000"/>
                <w:sz w:val="20"/>
                <w:szCs w:val="20"/>
                <w:lang w:eastAsia="en-GB" w:bidi="ar-SA"/>
              </w:rPr>
              <w:t xml:space="preserve">. </w:t>
            </w:r>
            <w:r w:rsidR="00D61C57">
              <w:rPr>
                <w:sz w:val="20"/>
                <w:szCs w:val="20"/>
              </w:rPr>
              <w:t>For the reasons outlined in the Consultation Paper, the self-assessment notification pathway has been removed from the modified framework</w:t>
            </w:r>
            <w:r w:rsidR="00D61C57" w:rsidDel="00D61C57">
              <w:rPr>
                <w:rFonts w:eastAsiaTheme="minorHAnsi" w:cs="Arial"/>
                <w:sz w:val="20"/>
                <w:szCs w:val="20"/>
                <w:lang w:eastAsia="en-GB" w:bidi="ar-SA"/>
              </w:rPr>
              <w:t xml:space="preserve"> </w:t>
            </w:r>
            <w:r w:rsidR="008B25C9">
              <w:rPr>
                <w:rFonts w:eastAsiaTheme="minorHAnsi" w:cs="Arial"/>
                <w:sz w:val="20"/>
                <w:szCs w:val="20"/>
                <w:lang w:eastAsia="en-GB" w:bidi="ar-SA"/>
              </w:rPr>
              <w:t>(section 2.2 of the consultation paper).</w:t>
            </w:r>
          </w:p>
        </w:tc>
      </w:tr>
      <w:tr w:rsidR="00E14548" w:rsidRPr="00A15CB9" w14:paraId="157ABEB3" w14:textId="77777777" w:rsidTr="00072CC7">
        <w:trPr>
          <w:trHeight w:val="346"/>
        </w:trPr>
        <w:tc>
          <w:tcPr>
            <w:tcW w:w="14175" w:type="dxa"/>
            <w:gridSpan w:val="4"/>
            <w:shd w:val="clear" w:color="auto" w:fill="EAF1DD" w:themeFill="accent3" w:themeFillTint="33"/>
            <w:vAlign w:val="center"/>
          </w:tcPr>
          <w:p w14:paraId="77E48978" w14:textId="39EFA63A" w:rsidR="00E14548" w:rsidRDefault="00E14548" w:rsidP="00E14548">
            <w:pPr>
              <w:widowControl/>
              <w:autoSpaceDE w:val="0"/>
              <w:autoSpaceDN w:val="0"/>
              <w:adjustRightInd w:val="0"/>
              <w:rPr>
                <w:rFonts w:cs="Arial"/>
                <w:color w:val="000000"/>
                <w:sz w:val="20"/>
                <w:szCs w:val="20"/>
                <w:lang w:eastAsia="en-GB" w:bidi="ar-SA"/>
              </w:rPr>
            </w:pPr>
            <w:r w:rsidRPr="00A15CB9">
              <w:rPr>
                <w:rFonts w:cs="Arial"/>
                <w:b/>
                <w:iCs/>
                <w:sz w:val="20"/>
                <w:szCs w:val="20"/>
                <w:lang w:eastAsia="en-GB" w:bidi="ar-SA"/>
              </w:rPr>
              <w:t>CFS Question: Would notification and publication of dossiers provide enough regulatory oversight and consumer confidence in relation to the safety of new foods? Please support your answer with detail of why you believe this is the case.</w:t>
            </w:r>
          </w:p>
        </w:tc>
      </w:tr>
      <w:tr w:rsidR="00D61C57" w:rsidRPr="00A15CB9" w14:paraId="57AFC7DA" w14:textId="77777777" w:rsidTr="00072CC7">
        <w:tc>
          <w:tcPr>
            <w:tcW w:w="2189" w:type="dxa"/>
            <w:shd w:val="clear" w:color="auto" w:fill="auto"/>
          </w:tcPr>
          <w:p w14:paraId="20F2A77B" w14:textId="627FA084" w:rsidR="00D61C57" w:rsidRPr="00A15CB9" w:rsidRDefault="00D61C57" w:rsidP="005554C7">
            <w:pPr>
              <w:rPr>
                <w:rFonts w:cs="Arial"/>
                <w:sz w:val="20"/>
                <w:szCs w:val="20"/>
                <w:lang w:eastAsia="en-AU" w:bidi="ar-SA"/>
              </w:rPr>
            </w:pPr>
            <w:r w:rsidRPr="00A15CB9">
              <w:rPr>
                <w:rFonts w:cs="Arial"/>
                <w:color w:val="000000"/>
                <w:sz w:val="20"/>
                <w:szCs w:val="20"/>
                <w:lang w:eastAsia="en-GB" w:bidi="ar-SA"/>
              </w:rPr>
              <w:t>Does not support self-substantiation</w:t>
            </w:r>
          </w:p>
        </w:tc>
        <w:tc>
          <w:tcPr>
            <w:tcW w:w="1202" w:type="dxa"/>
            <w:shd w:val="clear" w:color="auto" w:fill="auto"/>
          </w:tcPr>
          <w:p w14:paraId="180FD3FB" w14:textId="553DCD08" w:rsidR="00D61C57" w:rsidRPr="00A15CB9" w:rsidRDefault="00D61C57" w:rsidP="005554C7">
            <w:pPr>
              <w:rPr>
                <w:rFonts w:cs="Arial"/>
                <w:sz w:val="20"/>
                <w:szCs w:val="20"/>
              </w:rPr>
            </w:pPr>
            <w:r w:rsidRPr="00A15CB9">
              <w:rPr>
                <w:sz w:val="20"/>
                <w:szCs w:val="20"/>
              </w:rPr>
              <w:t>NSWFA, NZMPI, SA, Vic Govt</w:t>
            </w:r>
          </w:p>
        </w:tc>
        <w:tc>
          <w:tcPr>
            <w:tcW w:w="7954" w:type="dxa"/>
            <w:shd w:val="clear" w:color="auto" w:fill="auto"/>
          </w:tcPr>
          <w:p w14:paraId="3EEF8705" w14:textId="2A573199" w:rsidR="00D61C57" w:rsidRDefault="00D61C57" w:rsidP="00997CA5">
            <w:pPr>
              <w:autoSpaceDE w:val="0"/>
              <w:autoSpaceDN w:val="0"/>
              <w:adjustRightInd w:val="0"/>
              <w:rPr>
                <w:rFonts w:cs="Arial"/>
                <w:color w:val="000000"/>
                <w:sz w:val="20"/>
                <w:szCs w:val="20"/>
                <w:lang w:eastAsia="en-GB"/>
              </w:rPr>
            </w:pPr>
            <w:r w:rsidRPr="00A15CB9">
              <w:rPr>
                <w:rFonts w:cs="Arial"/>
                <w:color w:val="000000"/>
                <w:sz w:val="20"/>
                <w:szCs w:val="20"/>
                <w:lang w:eastAsia="en-GB"/>
              </w:rPr>
              <w:t>The following reasons were mentioned:</w:t>
            </w:r>
          </w:p>
          <w:p w14:paraId="6E1680F0" w14:textId="77777777" w:rsidR="00FE5B17" w:rsidRPr="00A15CB9" w:rsidRDefault="00FE5B17" w:rsidP="00997CA5">
            <w:pPr>
              <w:autoSpaceDE w:val="0"/>
              <w:autoSpaceDN w:val="0"/>
              <w:adjustRightInd w:val="0"/>
              <w:rPr>
                <w:rFonts w:cs="Arial"/>
                <w:color w:val="000000"/>
                <w:sz w:val="20"/>
                <w:szCs w:val="20"/>
                <w:lang w:eastAsia="en-GB"/>
              </w:rPr>
            </w:pPr>
          </w:p>
          <w:p w14:paraId="061B9FDD" w14:textId="77777777" w:rsidR="00D61C57" w:rsidRPr="009D0C23" w:rsidRDefault="00D61C57"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A self-substantiation system runs the significant risk of nationally inconsistent outcomes (NSWFA, NZMPI).</w:t>
            </w:r>
          </w:p>
          <w:p w14:paraId="6CD09AFA" w14:textId="77777777" w:rsidR="00D61C57" w:rsidRPr="009D0C23" w:rsidRDefault="00D61C57" w:rsidP="00FE5B17">
            <w:pPr>
              <w:pStyle w:val="FSBullet1"/>
              <w:numPr>
                <w:ilvl w:val="0"/>
                <w:numId w:val="11"/>
              </w:numPr>
              <w:ind w:left="284" w:hanging="284"/>
              <w:rPr>
                <w:rFonts w:eastAsiaTheme="minorHAnsi"/>
                <w:sz w:val="20"/>
                <w:lang w:eastAsia="en-GB"/>
              </w:rPr>
            </w:pPr>
            <w:r w:rsidRPr="009D0C23">
              <w:rPr>
                <w:rFonts w:eastAsiaTheme="minorHAnsi" w:cstheme="minorBidi"/>
                <w:sz w:val="20"/>
              </w:rPr>
              <w:t>Jurisdictions, whether individually or as a collective, are unlikely to have the resources or expertise to fully assess dossiers prior to publication online (NSWFA, NZMPI).</w:t>
            </w:r>
            <w:r w:rsidRPr="009D0C23">
              <w:rPr>
                <w:rFonts w:eastAsiaTheme="minorHAnsi"/>
                <w:sz w:val="20"/>
                <w:lang w:eastAsia="en-GB"/>
              </w:rPr>
              <w:t xml:space="preserve"> </w:t>
            </w:r>
          </w:p>
          <w:p w14:paraId="19D663C8" w14:textId="77777777" w:rsidR="00D61C57" w:rsidRPr="009D0C23" w:rsidRDefault="00D61C57"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 xml:space="preserve">There may be legal issues if an assessment is not conducted (NZMPI) </w:t>
            </w:r>
          </w:p>
          <w:p w14:paraId="50BEA5FB" w14:textId="77777777" w:rsidR="00D61C57" w:rsidRPr="009D0C23" w:rsidRDefault="00D61C57"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 xml:space="preserve">Publication of a dossier on the website of an enforcement agency could be viewed as an endorsement (NZMPI) </w:t>
            </w:r>
          </w:p>
          <w:p w14:paraId="3CF25C1C" w14:textId="77777777" w:rsidR="00D61C57" w:rsidRPr="009D0C23" w:rsidRDefault="00D61C57" w:rsidP="00FE5B17">
            <w:pPr>
              <w:pStyle w:val="FSBullet1"/>
              <w:numPr>
                <w:ilvl w:val="0"/>
                <w:numId w:val="11"/>
              </w:numPr>
              <w:ind w:left="284" w:hanging="284"/>
              <w:rPr>
                <w:rFonts w:eastAsiaTheme="minorHAnsi"/>
                <w:sz w:val="20"/>
              </w:rPr>
            </w:pPr>
            <w:r w:rsidRPr="009D0C23">
              <w:rPr>
                <w:rFonts w:eastAsiaTheme="minorHAnsi" w:cstheme="minorBidi"/>
                <w:sz w:val="20"/>
              </w:rPr>
              <w:t>Unsure whether criteria can be developed that clearly determine whether industry can self-assess their dossier or not (NZMPI).</w:t>
            </w:r>
          </w:p>
          <w:p w14:paraId="38C4746A" w14:textId="77777777" w:rsidR="00D61C57" w:rsidRPr="009D0C23" w:rsidRDefault="00D61C57" w:rsidP="00FE5B17">
            <w:pPr>
              <w:pStyle w:val="FSBullet1"/>
              <w:numPr>
                <w:ilvl w:val="0"/>
                <w:numId w:val="11"/>
              </w:numPr>
              <w:ind w:left="284" w:hanging="284"/>
              <w:rPr>
                <w:rFonts w:eastAsiaTheme="minorHAnsi"/>
                <w:sz w:val="20"/>
              </w:rPr>
            </w:pPr>
            <w:r w:rsidRPr="009D0C23">
              <w:rPr>
                <w:rFonts w:eastAsiaTheme="minorHAnsi"/>
                <w:sz w:val="20"/>
                <w:lang w:eastAsia="en-GB"/>
              </w:rPr>
              <w:t>Publication of dossiers can undermine the incentive for businesses to invest in the addition of novel or nutritive substances to foods that could be beneficial to consumers (Vic Govt).</w:t>
            </w:r>
          </w:p>
          <w:p w14:paraId="324403CD" w14:textId="77777777" w:rsidR="00D61C57" w:rsidRPr="00A15CB9" w:rsidRDefault="00D61C57" w:rsidP="005554C7">
            <w:pPr>
              <w:widowControl/>
              <w:autoSpaceDE w:val="0"/>
              <w:autoSpaceDN w:val="0"/>
              <w:adjustRightInd w:val="0"/>
              <w:rPr>
                <w:rFonts w:cs="Arial"/>
                <w:color w:val="000000"/>
                <w:sz w:val="20"/>
                <w:szCs w:val="20"/>
                <w:lang w:eastAsia="en-GB" w:bidi="ar-SA"/>
              </w:rPr>
            </w:pPr>
          </w:p>
        </w:tc>
        <w:tc>
          <w:tcPr>
            <w:tcW w:w="2830" w:type="dxa"/>
          </w:tcPr>
          <w:p w14:paraId="76528B1D" w14:textId="7B656F70" w:rsidR="00D61C57" w:rsidRDefault="00D61C57" w:rsidP="008B25C9">
            <w:pPr>
              <w:widowControl/>
              <w:autoSpaceDE w:val="0"/>
              <w:autoSpaceDN w:val="0"/>
              <w:adjustRightInd w:val="0"/>
              <w:rPr>
                <w:rFonts w:cs="Arial"/>
                <w:color w:val="000000"/>
                <w:sz w:val="20"/>
                <w:szCs w:val="20"/>
                <w:lang w:eastAsia="en-GB" w:bidi="ar-SA"/>
              </w:rPr>
            </w:pPr>
            <w:r>
              <w:rPr>
                <w:rFonts w:eastAsiaTheme="minorHAnsi" w:cs="Arial"/>
                <w:color w:val="000000"/>
                <w:sz w:val="20"/>
                <w:szCs w:val="20"/>
                <w:lang w:eastAsia="en-GB" w:bidi="ar-SA"/>
              </w:rPr>
              <w:t xml:space="preserve">Noted. </w:t>
            </w:r>
            <w:r>
              <w:rPr>
                <w:sz w:val="20"/>
                <w:szCs w:val="20"/>
              </w:rPr>
              <w:t>For the reasons outlined in the Consultation Paper, the self-assessment notification pathway has been removed from the modified framework</w:t>
            </w:r>
            <w:r w:rsidDel="00D61C57">
              <w:rPr>
                <w:rFonts w:eastAsiaTheme="minorHAnsi" w:cs="Arial"/>
                <w:sz w:val="20"/>
                <w:szCs w:val="20"/>
                <w:lang w:eastAsia="en-GB" w:bidi="ar-SA"/>
              </w:rPr>
              <w:t xml:space="preserve"> </w:t>
            </w:r>
            <w:r>
              <w:rPr>
                <w:rFonts w:eastAsiaTheme="minorHAnsi" w:cs="Arial"/>
                <w:sz w:val="20"/>
                <w:szCs w:val="20"/>
                <w:lang w:eastAsia="en-GB" w:bidi="ar-SA"/>
              </w:rPr>
              <w:t>(section 2.2 of the consultation paper).</w:t>
            </w:r>
          </w:p>
        </w:tc>
      </w:tr>
      <w:tr w:rsidR="00D61C57" w:rsidRPr="00A15CB9" w14:paraId="754974F8" w14:textId="77777777" w:rsidTr="00072CC7">
        <w:tc>
          <w:tcPr>
            <w:tcW w:w="2189" w:type="dxa"/>
            <w:shd w:val="clear" w:color="auto" w:fill="auto"/>
          </w:tcPr>
          <w:p w14:paraId="5EFCEA2E" w14:textId="60BA237A" w:rsidR="00D61C57" w:rsidRPr="00A15CB9" w:rsidRDefault="00D61C57" w:rsidP="00FE5B17">
            <w:pPr>
              <w:pageBreakBefore/>
              <w:rPr>
                <w:rFonts w:cs="Arial"/>
                <w:sz w:val="20"/>
                <w:szCs w:val="20"/>
                <w:lang w:eastAsia="en-AU" w:bidi="ar-SA"/>
              </w:rPr>
            </w:pPr>
            <w:r w:rsidRPr="00A15CB9">
              <w:rPr>
                <w:sz w:val="20"/>
                <w:szCs w:val="20"/>
              </w:rPr>
              <w:lastRenderedPageBreak/>
              <w:t>Independent review of the dossier</w:t>
            </w:r>
          </w:p>
        </w:tc>
        <w:tc>
          <w:tcPr>
            <w:tcW w:w="1202" w:type="dxa"/>
            <w:shd w:val="clear" w:color="auto" w:fill="auto"/>
          </w:tcPr>
          <w:p w14:paraId="27B0CBDE" w14:textId="5FEFE1ED" w:rsidR="00D61C57" w:rsidRPr="00A15CB9" w:rsidRDefault="00D61C57" w:rsidP="005554C7">
            <w:pPr>
              <w:rPr>
                <w:rFonts w:cs="Arial"/>
                <w:sz w:val="20"/>
                <w:szCs w:val="20"/>
              </w:rPr>
            </w:pPr>
            <w:r w:rsidRPr="00A15CB9">
              <w:rPr>
                <w:sz w:val="20"/>
                <w:szCs w:val="20"/>
              </w:rPr>
              <w:t>Fonterra</w:t>
            </w:r>
          </w:p>
        </w:tc>
        <w:tc>
          <w:tcPr>
            <w:tcW w:w="7954" w:type="dxa"/>
            <w:shd w:val="clear" w:color="auto" w:fill="auto"/>
          </w:tcPr>
          <w:p w14:paraId="10BB1C70" w14:textId="1B1FAA48" w:rsidR="00D61C57" w:rsidRDefault="00D61C57" w:rsidP="00997CA5">
            <w:pPr>
              <w:widowControl/>
              <w:autoSpaceDE w:val="0"/>
              <w:autoSpaceDN w:val="0"/>
              <w:adjustRightInd w:val="0"/>
              <w:rPr>
                <w:rFonts w:cs="Arial"/>
                <w:color w:val="000000"/>
                <w:sz w:val="20"/>
                <w:szCs w:val="20"/>
                <w:lang w:eastAsia="en-GB" w:bidi="ar-SA"/>
              </w:rPr>
            </w:pPr>
            <w:r w:rsidRPr="004451F8">
              <w:rPr>
                <w:rFonts w:cs="Arial"/>
                <w:color w:val="000000"/>
                <w:sz w:val="20"/>
                <w:szCs w:val="20"/>
                <w:lang w:eastAsia="en-GB" w:bidi="ar-SA"/>
              </w:rPr>
              <w:t>Does not consider publication of dossiers is the best approach to provide regulatory oversight and consumer confidence in the industry self-assessment pathway.</w:t>
            </w:r>
            <w:r>
              <w:rPr>
                <w:szCs w:val="22"/>
              </w:rPr>
              <w:t xml:space="preserve"> </w:t>
            </w:r>
            <w:r w:rsidRPr="00A15CB9">
              <w:rPr>
                <w:rFonts w:cs="Arial"/>
                <w:color w:val="000000"/>
                <w:sz w:val="20"/>
                <w:szCs w:val="20"/>
                <w:lang w:eastAsia="en-GB" w:bidi="ar-SA"/>
              </w:rPr>
              <w:t xml:space="preserve">Proposes an alternative self-assessment pathway, which includes an independent expert assessment to add objectivity of assessment of safety: </w:t>
            </w:r>
          </w:p>
          <w:p w14:paraId="28D45F8E" w14:textId="77777777" w:rsidR="00FE5B17" w:rsidRPr="00A15CB9" w:rsidRDefault="00FE5B17" w:rsidP="00997CA5">
            <w:pPr>
              <w:widowControl/>
              <w:autoSpaceDE w:val="0"/>
              <w:autoSpaceDN w:val="0"/>
              <w:adjustRightInd w:val="0"/>
              <w:rPr>
                <w:rFonts w:cs="Arial"/>
                <w:color w:val="000000"/>
                <w:sz w:val="20"/>
                <w:szCs w:val="20"/>
                <w:lang w:eastAsia="en-GB" w:bidi="ar-SA"/>
              </w:rPr>
            </w:pPr>
          </w:p>
          <w:p w14:paraId="753EB845" w14:textId="77777777" w:rsidR="00D61C57" w:rsidRPr="00A15CB9" w:rsidRDefault="00D61C57" w:rsidP="00FE5B17">
            <w:pPr>
              <w:widowControl/>
              <w:autoSpaceDE w:val="0"/>
              <w:autoSpaceDN w:val="0"/>
              <w:adjustRightInd w:val="0"/>
              <w:ind w:left="284" w:hanging="284"/>
              <w:rPr>
                <w:rFonts w:cs="Arial"/>
                <w:color w:val="000000"/>
                <w:sz w:val="20"/>
                <w:szCs w:val="20"/>
                <w:lang w:eastAsia="en-GB" w:bidi="ar-SA"/>
              </w:rPr>
            </w:pPr>
            <w:r w:rsidRPr="00A15CB9">
              <w:rPr>
                <w:rFonts w:cs="Arial"/>
                <w:color w:val="000000"/>
                <w:sz w:val="20"/>
                <w:szCs w:val="20"/>
                <w:lang w:eastAsia="en-GB" w:bidi="ar-SA"/>
              </w:rPr>
              <w:t>a.</w:t>
            </w:r>
            <w:r>
              <w:rPr>
                <w:rFonts w:cs="Arial"/>
                <w:color w:val="000000"/>
                <w:sz w:val="20"/>
                <w:szCs w:val="20"/>
                <w:lang w:eastAsia="en-GB" w:bidi="ar-SA"/>
              </w:rPr>
              <w:tab/>
            </w:r>
            <w:r w:rsidRPr="00A15CB9">
              <w:rPr>
                <w:rFonts w:cs="Arial"/>
                <w:color w:val="000000"/>
                <w:sz w:val="20"/>
                <w:szCs w:val="20"/>
                <w:lang w:eastAsia="en-GB" w:bidi="ar-SA"/>
              </w:rPr>
              <w:t xml:space="preserve">Company X develops the dossier to use as the basis for determination; </w:t>
            </w:r>
          </w:p>
          <w:p w14:paraId="02302921" w14:textId="77777777" w:rsidR="00D61C57" w:rsidRPr="00A15CB9" w:rsidRDefault="00D61C57" w:rsidP="00FE5B17">
            <w:pPr>
              <w:widowControl/>
              <w:autoSpaceDE w:val="0"/>
              <w:autoSpaceDN w:val="0"/>
              <w:adjustRightInd w:val="0"/>
              <w:ind w:left="284" w:hanging="284"/>
              <w:rPr>
                <w:rFonts w:cs="Arial"/>
                <w:color w:val="000000"/>
                <w:sz w:val="20"/>
                <w:szCs w:val="20"/>
                <w:lang w:eastAsia="en-GB" w:bidi="ar-SA"/>
              </w:rPr>
            </w:pPr>
            <w:r w:rsidRPr="00A15CB9">
              <w:rPr>
                <w:rFonts w:cs="Arial"/>
                <w:color w:val="000000"/>
                <w:sz w:val="20"/>
                <w:szCs w:val="20"/>
                <w:lang w:eastAsia="en-GB" w:bidi="ar-SA"/>
              </w:rPr>
              <w:t>b.</w:t>
            </w:r>
            <w:r>
              <w:rPr>
                <w:rFonts w:cs="Arial"/>
                <w:color w:val="000000"/>
                <w:sz w:val="20"/>
                <w:szCs w:val="20"/>
                <w:lang w:eastAsia="en-GB" w:bidi="ar-SA"/>
              </w:rPr>
              <w:tab/>
            </w:r>
            <w:r w:rsidRPr="00A15CB9">
              <w:rPr>
                <w:rFonts w:cs="Arial"/>
                <w:color w:val="000000"/>
                <w:sz w:val="20"/>
                <w:szCs w:val="20"/>
                <w:lang w:eastAsia="en-GB" w:bidi="ar-SA"/>
              </w:rPr>
              <w:t xml:space="preserve">The dossier is subject to an independent expert review; </w:t>
            </w:r>
          </w:p>
          <w:p w14:paraId="0CA6866C" w14:textId="77777777" w:rsidR="00D61C57" w:rsidRPr="00A15CB9" w:rsidRDefault="00D61C57" w:rsidP="00FE5B17">
            <w:pPr>
              <w:widowControl/>
              <w:autoSpaceDE w:val="0"/>
              <w:autoSpaceDN w:val="0"/>
              <w:adjustRightInd w:val="0"/>
              <w:ind w:left="284" w:hanging="284"/>
              <w:rPr>
                <w:rFonts w:cs="Arial"/>
                <w:color w:val="000000"/>
                <w:sz w:val="20"/>
                <w:szCs w:val="20"/>
                <w:lang w:eastAsia="en-GB" w:bidi="ar-SA"/>
              </w:rPr>
            </w:pPr>
            <w:r w:rsidRPr="00A15CB9">
              <w:rPr>
                <w:rFonts w:cs="Arial"/>
                <w:color w:val="000000"/>
                <w:sz w:val="20"/>
                <w:szCs w:val="20"/>
                <w:lang w:eastAsia="en-GB" w:bidi="ar-SA"/>
              </w:rPr>
              <w:t xml:space="preserve">c. </w:t>
            </w:r>
            <w:r>
              <w:rPr>
                <w:rFonts w:cs="Arial"/>
                <w:color w:val="000000"/>
                <w:sz w:val="20"/>
                <w:szCs w:val="20"/>
                <w:lang w:eastAsia="en-GB" w:bidi="ar-SA"/>
              </w:rPr>
              <w:tab/>
            </w:r>
            <w:r w:rsidRPr="00A15CB9">
              <w:rPr>
                <w:rFonts w:cs="Arial"/>
                <w:color w:val="000000"/>
                <w:sz w:val="20"/>
                <w:szCs w:val="20"/>
                <w:lang w:eastAsia="en-GB" w:bidi="ar-SA"/>
              </w:rPr>
              <w:t xml:space="preserve">Company X holds the dossier and independent expert review on file in house; and </w:t>
            </w:r>
          </w:p>
          <w:p w14:paraId="6B7F8FE3" w14:textId="77777777" w:rsidR="00D61C57" w:rsidRPr="00A15CB9" w:rsidRDefault="00D61C57" w:rsidP="00FE5B17">
            <w:pPr>
              <w:widowControl/>
              <w:autoSpaceDE w:val="0"/>
              <w:autoSpaceDN w:val="0"/>
              <w:adjustRightInd w:val="0"/>
              <w:ind w:left="284" w:hanging="284"/>
              <w:rPr>
                <w:rFonts w:cs="Arial"/>
                <w:color w:val="000000"/>
                <w:sz w:val="20"/>
                <w:szCs w:val="20"/>
                <w:lang w:eastAsia="en-GB" w:bidi="ar-SA"/>
              </w:rPr>
            </w:pPr>
            <w:r w:rsidRPr="00A15CB9">
              <w:rPr>
                <w:rFonts w:cs="Arial"/>
                <w:color w:val="000000"/>
                <w:sz w:val="20"/>
                <w:szCs w:val="20"/>
                <w:lang w:eastAsia="en-GB" w:bidi="ar-SA"/>
              </w:rPr>
              <w:t xml:space="preserve">d. </w:t>
            </w:r>
            <w:r>
              <w:rPr>
                <w:rFonts w:cs="Arial"/>
                <w:color w:val="000000"/>
                <w:sz w:val="20"/>
                <w:szCs w:val="20"/>
                <w:lang w:eastAsia="en-GB" w:bidi="ar-SA"/>
              </w:rPr>
              <w:tab/>
            </w:r>
            <w:r w:rsidRPr="00A15CB9">
              <w:rPr>
                <w:rFonts w:cs="Arial"/>
                <w:color w:val="000000"/>
                <w:sz w:val="20"/>
                <w:szCs w:val="20"/>
                <w:lang w:eastAsia="en-GB" w:bidi="ar-SA"/>
              </w:rPr>
              <w:t xml:space="preserve">The dossier can be requested by food authorities if required. </w:t>
            </w:r>
          </w:p>
          <w:p w14:paraId="4489BF5E" w14:textId="77777777" w:rsidR="00D61C57" w:rsidRPr="00A15CB9" w:rsidRDefault="00D61C57" w:rsidP="005554C7">
            <w:pPr>
              <w:widowControl/>
              <w:autoSpaceDE w:val="0"/>
              <w:autoSpaceDN w:val="0"/>
              <w:adjustRightInd w:val="0"/>
              <w:rPr>
                <w:rFonts w:cs="Arial"/>
                <w:color w:val="000000"/>
                <w:sz w:val="20"/>
                <w:szCs w:val="20"/>
                <w:lang w:eastAsia="en-GB" w:bidi="ar-SA"/>
              </w:rPr>
            </w:pPr>
          </w:p>
        </w:tc>
        <w:tc>
          <w:tcPr>
            <w:tcW w:w="2830" w:type="dxa"/>
          </w:tcPr>
          <w:p w14:paraId="70599414" w14:textId="7E991ACF" w:rsidR="00D61C57" w:rsidRDefault="00D61C57" w:rsidP="002334A9">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FSANZ notes this is a variation on the self-assessment notification route and is similar to the US GRAS process.</w:t>
            </w:r>
          </w:p>
          <w:p w14:paraId="549CB78A" w14:textId="77777777" w:rsidR="00D61C57" w:rsidRDefault="00D61C57" w:rsidP="002334A9">
            <w:pPr>
              <w:widowControl/>
              <w:autoSpaceDE w:val="0"/>
              <w:autoSpaceDN w:val="0"/>
              <w:adjustRightInd w:val="0"/>
              <w:rPr>
                <w:rFonts w:cs="Arial"/>
                <w:color w:val="000000"/>
                <w:sz w:val="20"/>
                <w:szCs w:val="20"/>
                <w:lang w:eastAsia="en-GB" w:bidi="ar-SA"/>
              </w:rPr>
            </w:pPr>
          </w:p>
          <w:p w14:paraId="6214F75B" w14:textId="69A06506" w:rsidR="00D61C57" w:rsidRDefault="00D61C57" w:rsidP="002334A9">
            <w:pPr>
              <w:widowControl/>
              <w:autoSpaceDE w:val="0"/>
              <w:autoSpaceDN w:val="0"/>
              <w:adjustRightInd w:val="0"/>
              <w:rPr>
                <w:rFonts w:cs="Arial"/>
                <w:color w:val="000000"/>
                <w:sz w:val="20"/>
                <w:szCs w:val="20"/>
                <w:lang w:eastAsia="en-GB" w:bidi="ar-SA"/>
              </w:rPr>
            </w:pPr>
            <w:r>
              <w:rPr>
                <w:sz w:val="20"/>
                <w:szCs w:val="20"/>
              </w:rPr>
              <w:t>For the reasons outlined in the Consultation Paper, the self-assessment notification pathway has been removed from the modified framework</w:t>
            </w:r>
            <w:r w:rsidDel="00D61C57">
              <w:rPr>
                <w:rFonts w:eastAsiaTheme="minorHAnsi" w:cs="Arial"/>
                <w:sz w:val="20"/>
                <w:szCs w:val="20"/>
                <w:lang w:eastAsia="en-GB" w:bidi="ar-SA"/>
              </w:rPr>
              <w:t xml:space="preserve"> </w:t>
            </w:r>
            <w:r>
              <w:rPr>
                <w:rFonts w:eastAsiaTheme="minorHAnsi" w:cs="Arial"/>
                <w:sz w:val="20"/>
                <w:szCs w:val="20"/>
                <w:lang w:eastAsia="en-GB" w:bidi="ar-SA"/>
              </w:rPr>
              <w:t>(section 2.2 of the consultation paper).</w:t>
            </w:r>
          </w:p>
          <w:p w14:paraId="737F4A11" w14:textId="4D40E2F4" w:rsidR="00D61C57" w:rsidRDefault="00D61C57" w:rsidP="002334A9">
            <w:pPr>
              <w:widowControl/>
              <w:autoSpaceDE w:val="0"/>
              <w:autoSpaceDN w:val="0"/>
              <w:adjustRightInd w:val="0"/>
              <w:rPr>
                <w:rFonts w:cs="Arial"/>
                <w:color w:val="000000"/>
                <w:sz w:val="20"/>
                <w:szCs w:val="20"/>
                <w:lang w:eastAsia="en-GB" w:bidi="ar-SA"/>
              </w:rPr>
            </w:pPr>
          </w:p>
        </w:tc>
      </w:tr>
      <w:tr w:rsidR="00D61C57" w:rsidRPr="00A15CB9" w14:paraId="73688824" w14:textId="77777777" w:rsidTr="00072CC7">
        <w:trPr>
          <w:trHeight w:val="346"/>
        </w:trPr>
        <w:tc>
          <w:tcPr>
            <w:tcW w:w="14175" w:type="dxa"/>
            <w:gridSpan w:val="4"/>
            <w:shd w:val="clear" w:color="auto" w:fill="EAF1DD" w:themeFill="accent3" w:themeFillTint="33"/>
            <w:vAlign w:val="center"/>
          </w:tcPr>
          <w:p w14:paraId="3A2D3574" w14:textId="18356909" w:rsidR="00D61C57" w:rsidRDefault="00D61C57" w:rsidP="00E14548">
            <w:pPr>
              <w:widowControl/>
              <w:autoSpaceDE w:val="0"/>
              <w:autoSpaceDN w:val="0"/>
              <w:adjustRightInd w:val="0"/>
              <w:rPr>
                <w:rFonts w:cs="Arial"/>
                <w:color w:val="000000"/>
                <w:sz w:val="20"/>
                <w:szCs w:val="20"/>
                <w:lang w:eastAsia="en-GB" w:bidi="ar-SA"/>
              </w:rPr>
            </w:pPr>
            <w:r>
              <w:rPr>
                <w:rFonts w:cs="Arial"/>
                <w:b/>
                <w:iCs/>
                <w:sz w:val="20"/>
                <w:szCs w:val="20"/>
                <w:lang w:eastAsia="en-GB" w:bidi="ar-SA"/>
              </w:rPr>
              <w:t>CFS Question:</w:t>
            </w:r>
            <w:r w:rsidRPr="00261CC2">
              <w:rPr>
                <w:rFonts w:cs="Arial"/>
                <w:b/>
                <w:iCs/>
                <w:sz w:val="20"/>
                <w:szCs w:val="20"/>
                <w:lang w:eastAsia="en-GB" w:bidi="ar-SA"/>
              </w:rPr>
              <w:t xml:space="preserve"> </w:t>
            </w:r>
            <w:r w:rsidRPr="00C10F5A">
              <w:rPr>
                <w:rFonts w:cs="Arial"/>
                <w:b/>
                <w:iCs/>
                <w:sz w:val="20"/>
                <w:szCs w:val="20"/>
                <w:lang w:eastAsia="en-GB" w:bidi="ar-SA"/>
              </w:rPr>
              <w:t>Can you identify any negative impacts that may result from combining the regulation of novel foods and nutritive substances (other than vitamins and minerals) that may occur under a graduated risk approach? Please explain these impacts.</w:t>
            </w:r>
          </w:p>
        </w:tc>
      </w:tr>
      <w:tr w:rsidR="00D61C57" w:rsidRPr="00A15CB9" w14:paraId="4102CA3C" w14:textId="77777777" w:rsidTr="00072CC7">
        <w:tc>
          <w:tcPr>
            <w:tcW w:w="2189" w:type="dxa"/>
            <w:shd w:val="clear" w:color="auto" w:fill="auto"/>
          </w:tcPr>
          <w:p w14:paraId="6C9163EA" w14:textId="77777777" w:rsidR="00D61C57" w:rsidRPr="002211D3" w:rsidRDefault="00D61C57" w:rsidP="00997CA5">
            <w:pPr>
              <w:autoSpaceDE w:val="0"/>
              <w:autoSpaceDN w:val="0"/>
              <w:adjustRightInd w:val="0"/>
              <w:rPr>
                <w:rFonts w:cs="Arial"/>
                <w:sz w:val="20"/>
                <w:szCs w:val="20"/>
              </w:rPr>
            </w:pPr>
            <w:r>
              <w:rPr>
                <w:rFonts w:cs="Arial"/>
                <w:sz w:val="20"/>
                <w:szCs w:val="20"/>
              </w:rPr>
              <w:t>No negative impacts identified</w:t>
            </w:r>
          </w:p>
          <w:p w14:paraId="454B3EB7" w14:textId="77777777" w:rsidR="00D61C57" w:rsidRPr="00A15CB9" w:rsidRDefault="00D61C57" w:rsidP="005554C7">
            <w:pPr>
              <w:rPr>
                <w:rFonts w:cs="Arial"/>
                <w:sz w:val="20"/>
                <w:szCs w:val="20"/>
                <w:lang w:eastAsia="en-AU" w:bidi="ar-SA"/>
              </w:rPr>
            </w:pPr>
          </w:p>
        </w:tc>
        <w:tc>
          <w:tcPr>
            <w:tcW w:w="1202" w:type="dxa"/>
            <w:shd w:val="clear" w:color="auto" w:fill="auto"/>
          </w:tcPr>
          <w:p w14:paraId="72B1BB02" w14:textId="20B2E67F" w:rsidR="00D61C57" w:rsidRPr="00A15CB9" w:rsidRDefault="00D61C57" w:rsidP="005554C7">
            <w:pPr>
              <w:rPr>
                <w:rFonts w:cs="Arial"/>
                <w:sz w:val="20"/>
                <w:szCs w:val="20"/>
              </w:rPr>
            </w:pPr>
            <w:r>
              <w:rPr>
                <w:sz w:val="20"/>
                <w:szCs w:val="20"/>
              </w:rPr>
              <w:t>AFGC, INC, Nestlé, NZFGC NZMPI, SA</w:t>
            </w:r>
          </w:p>
        </w:tc>
        <w:tc>
          <w:tcPr>
            <w:tcW w:w="7954" w:type="dxa"/>
            <w:shd w:val="clear" w:color="auto" w:fill="auto"/>
          </w:tcPr>
          <w:p w14:paraId="05FC9A59" w14:textId="77777777" w:rsidR="00D61C57" w:rsidRDefault="00D61C57" w:rsidP="00997CA5">
            <w:pPr>
              <w:rPr>
                <w:sz w:val="20"/>
                <w:szCs w:val="20"/>
              </w:rPr>
            </w:pPr>
            <w:r w:rsidRPr="00556DFD">
              <w:rPr>
                <w:sz w:val="20"/>
                <w:szCs w:val="20"/>
              </w:rPr>
              <w:t>No</w:t>
            </w:r>
            <w:r>
              <w:rPr>
                <w:sz w:val="20"/>
                <w:szCs w:val="20"/>
              </w:rPr>
              <w:t>. A</w:t>
            </w:r>
            <w:r w:rsidRPr="00556DFD">
              <w:rPr>
                <w:sz w:val="20"/>
                <w:szCs w:val="20"/>
              </w:rPr>
              <w:t>gree that these foods are generally added for a similar purpose so can be combined.</w:t>
            </w:r>
            <w:r>
              <w:rPr>
                <w:sz w:val="20"/>
                <w:szCs w:val="20"/>
              </w:rPr>
              <w:t xml:space="preserve"> </w:t>
            </w:r>
          </w:p>
          <w:p w14:paraId="46BA034D" w14:textId="77777777" w:rsidR="00D61C57" w:rsidRDefault="00D61C57" w:rsidP="00997CA5">
            <w:pPr>
              <w:rPr>
                <w:sz w:val="20"/>
                <w:szCs w:val="20"/>
              </w:rPr>
            </w:pPr>
          </w:p>
          <w:p w14:paraId="27603556" w14:textId="1947EB4F" w:rsidR="00D61C57" w:rsidRPr="00A15CB9" w:rsidRDefault="00D61C57" w:rsidP="00303B5E">
            <w:pPr>
              <w:widowControl/>
              <w:autoSpaceDE w:val="0"/>
              <w:autoSpaceDN w:val="0"/>
              <w:adjustRightInd w:val="0"/>
              <w:rPr>
                <w:rFonts w:cs="Arial"/>
                <w:color w:val="000000"/>
                <w:sz w:val="20"/>
                <w:szCs w:val="20"/>
                <w:lang w:eastAsia="en-GB" w:bidi="ar-SA"/>
              </w:rPr>
            </w:pPr>
            <w:r>
              <w:rPr>
                <w:sz w:val="20"/>
                <w:szCs w:val="20"/>
              </w:rPr>
              <w:t>The AFGC recommended removing the concept of nutritive substance from the Code, instead regulating specific substances of concerns, such as amino acids.</w:t>
            </w:r>
          </w:p>
        </w:tc>
        <w:tc>
          <w:tcPr>
            <w:tcW w:w="2830" w:type="dxa"/>
          </w:tcPr>
          <w:p w14:paraId="0DF532EC" w14:textId="77777777" w:rsidR="00D61C57" w:rsidRDefault="00D61C57" w:rsidP="00231BCA">
            <w:pPr>
              <w:rPr>
                <w:rFonts w:cs="Arial"/>
                <w:b/>
                <w:kern w:val="32"/>
                <w:sz w:val="20"/>
                <w:szCs w:val="20"/>
              </w:rPr>
            </w:pPr>
            <w:r>
              <w:rPr>
                <w:sz w:val="20"/>
                <w:szCs w:val="20"/>
              </w:rPr>
              <w:t>The support for combining nutritive substances and novel foods is noted.</w:t>
            </w:r>
          </w:p>
          <w:p w14:paraId="12AF4C99" w14:textId="77777777" w:rsidR="00D61C57" w:rsidRDefault="00D61C57" w:rsidP="00997CA5">
            <w:pPr>
              <w:jc w:val="both"/>
              <w:rPr>
                <w:sz w:val="20"/>
                <w:szCs w:val="20"/>
              </w:rPr>
            </w:pPr>
          </w:p>
          <w:p w14:paraId="6A1A3A48" w14:textId="598B1328" w:rsidR="00D61C57" w:rsidRDefault="00D61C57" w:rsidP="00231BCA">
            <w:pPr>
              <w:rPr>
                <w:rFonts w:cs="Arial"/>
                <w:b/>
                <w:kern w:val="32"/>
                <w:sz w:val="20"/>
                <w:szCs w:val="20"/>
              </w:rPr>
            </w:pPr>
            <w:r>
              <w:rPr>
                <w:sz w:val="20"/>
                <w:szCs w:val="20"/>
              </w:rPr>
              <w:t xml:space="preserve">The modified framework retains a requirement for L-amino acids to be approved via an application route (section 2.2.3.3 of the consultation paper). </w:t>
            </w:r>
          </w:p>
          <w:p w14:paraId="30EAF697" w14:textId="77777777" w:rsidR="00D61C57" w:rsidRDefault="00D61C57" w:rsidP="000B462A">
            <w:pPr>
              <w:widowControl/>
              <w:autoSpaceDE w:val="0"/>
              <w:autoSpaceDN w:val="0"/>
              <w:adjustRightInd w:val="0"/>
              <w:rPr>
                <w:rFonts w:cs="Arial"/>
                <w:color w:val="000000"/>
                <w:sz w:val="20"/>
                <w:szCs w:val="20"/>
                <w:lang w:eastAsia="en-GB" w:bidi="ar-SA"/>
              </w:rPr>
            </w:pPr>
          </w:p>
        </w:tc>
      </w:tr>
      <w:tr w:rsidR="00D61C57" w:rsidRPr="00A15CB9" w14:paraId="0A07B8BA" w14:textId="77777777" w:rsidTr="00072CC7">
        <w:tc>
          <w:tcPr>
            <w:tcW w:w="2189" w:type="dxa"/>
            <w:shd w:val="clear" w:color="auto" w:fill="auto"/>
          </w:tcPr>
          <w:p w14:paraId="23152F4C" w14:textId="0B3ADEE9" w:rsidR="00D61C57" w:rsidRPr="00A15CB9" w:rsidRDefault="00D61C57" w:rsidP="005554C7">
            <w:pPr>
              <w:rPr>
                <w:rFonts w:cs="Arial"/>
                <w:sz w:val="20"/>
                <w:szCs w:val="20"/>
                <w:lang w:eastAsia="en-AU" w:bidi="ar-SA"/>
              </w:rPr>
            </w:pPr>
            <w:r>
              <w:rPr>
                <w:sz w:val="20"/>
                <w:szCs w:val="20"/>
              </w:rPr>
              <w:t>Impact due to the definition of ‘nutritive substances’</w:t>
            </w:r>
          </w:p>
        </w:tc>
        <w:tc>
          <w:tcPr>
            <w:tcW w:w="1202" w:type="dxa"/>
            <w:shd w:val="clear" w:color="auto" w:fill="auto"/>
          </w:tcPr>
          <w:p w14:paraId="7EC445BB" w14:textId="7170C8F6" w:rsidR="00D61C57" w:rsidRPr="00A15CB9" w:rsidRDefault="00D61C57" w:rsidP="005554C7">
            <w:pPr>
              <w:rPr>
                <w:rFonts w:cs="Arial"/>
                <w:sz w:val="20"/>
                <w:szCs w:val="20"/>
              </w:rPr>
            </w:pPr>
            <w:r>
              <w:rPr>
                <w:sz w:val="20"/>
                <w:szCs w:val="20"/>
              </w:rPr>
              <w:t>ABC, AFGC</w:t>
            </w:r>
          </w:p>
        </w:tc>
        <w:tc>
          <w:tcPr>
            <w:tcW w:w="7954" w:type="dxa"/>
            <w:shd w:val="clear" w:color="auto" w:fill="auto"/>
          </w:tcPr>
          <w:p w14:paraId="75B98D63" w14:textId="77777777" w:rsidR="00D61C57" w:rsidRDefault="00D61C57" w:rsidP="00997CA5">
            <w:pPr>
              <w:rPr>
                <w:sz w:val="20"/>
                <w:szCs w:val="20"/>
              </w:rPr>
            </w:pPr>
            <w:r>
              <w:rPr>
                <w:sz w:val="20"/>
                <w:szCs w:val="20"/>
              </w:rPr>
              <w:t>The concept of nutritive substances could be considered to be flawed as it is duplicative, confusing, complex and uncertain.</w:t>
            </w:r>
          </w:p>
          <w:p w14:paraId="4AB40FF1" w14:textId="77777777" w:rsidR="00D61C57" w:rsidRPr="00A15CB9" w:rsidRDefault="00D61C57" w:rsidP="005554C7">
            <w:pPr>
              <w:widowControl/>
              <w:autoSpaceDE w:val="0"/>
              <w:autoSpaceDN w:val="0"/>
              <w:adjustRightInd w:val="0"/>
              <w:rPr>
                <w:rFonts w:cs="Arial"/>
                <w:color w:val="000000"/>
                <w:sz w:val="20"/>
                <w:szCs w:val="20"/>
                <w:lang w:eastAsia="en-GB" w:bidi="ar-SA"/>
              </w:rPr>
            </w:pPr>
          </w:p>
        </w:tc>
        <w:tc>
          <w:tcPr>
            <w:tcW w:w="2830" w:type="dxa"/>
          </w:tcPr>
          <w:p w14:paraId="2C5FB774" w14:textId="77777777" w:rsidR="00D61C57" w:rsidRPr="00A15CB9" w:rsidRDefault="00D61C57" w:rsidP="00D61C57">
            <w:pPr>
              <w:spacing w:before="60" w:after="60"/>
              <w:rPr>
                <w:rFonts w:cs="Arial"/>
                <w:sz w:val="20"/>
                <w:szCs w:val="20"/>
              </w:rPr>
            </w:pPr>
            <w:r>
              <w:rPr>
                <w:sz w:val="20"/>
                <w:szCs w:val="20"/>
              </w:rPr>
              <w:t xml:space="preserve">Noted. </w:t>
            </w:r>
            <w:r>
              <w:rPr>
                <w:rFonts w:cs="Arial"/>
                <w:sz w:val="20"/>
                <w:szCs w:val="20"/>
              </w:rPr>
              <w:t>For the reasons outlined in the Consultation Paper, Option 3 remains FSANZ’s preferred option, subject to further consultation on the modified framework (section 2.2 of the consultation paper).</w:t>
            </w:r>
          </w:p>
          <w:p w14:paraId="78D477E0" w14:textId="65A3EC87" w:rsidR="00D61C57" w:rsidRDefault="00D61C57" w:rsidP="000B462A">
            <w:pPr>
              <w:widowControl/>
              <w:autoSpaceDE w:val="0"/>
              <w:autoSpaceDN w:val="0"/>
              <w:adjustRightInd w:val="0"/>
              <w:rPr>
                <w:rFonts w:cs="Arial"/>
                <w:color w:val="000000"/>
                <w:sz w:val="20"/>
                <w:szCs w:val="20"/>
                <w:lang w:eastAsia="en-GB" w:bidi="ar-SA"/>
              </w:rPr>
            </w:pPr>
          </w:p>
        </w:tc>
      </w:tr>
    </w:tbl>
    <w:p w14:paraId="4135BAFA" w14:textId="5D52B07F" w:rsidR="005554C7" w:rsidRDefault="005554C7" w:rsidP="005554C7">
      <w:pPr>
        <w:pStyle w:val="FSTableTitle"/>
        <w:rPr>
          <w:lang w:bidi="ar-SA"/>
        </w:rPr>
      </w:pPr>
      <w:r>
        <w:rPr>
          <w:lang w:bidi="ar-SA"/>
        </w:rPr>
        <w:lastRenderedPageBreak/>
        <w:t xml:space="preserve">Table </w:t>
      </w:r>
      <w:r w:rsidR="00072CC7">
        <w:rPr>
          <w:lang w:bidi="ar-SA"/>
        </w:rPr>
        <w:t>4</w:t>
      </w:r>
      <w:r w:rsidR="002334A9">
        <w:rPr>
          <w:lang w:bidi="ar-SA"/>
        </w:rPr>
        <w:t>:</w:t>
      </w:r>
      <w:r>
        <w:rPr>
          <w:lang w:bidi="ar-SA"/>
        </w:rPr>
        <w:t xml:space="preserve"> Submitters’ </w:t>
      </w:r>
      <w:r w:rsidRPr="00A15CB9">
        <w:rPr>
          <w:lang w:bidi="ar-SA"/>
        </w:rPr>
        <w:t xml:space="preserve">Comments on </w:t>
      </w:r>
      <w:r w:rsidR="00D223D7">
        <w:rPr>
          <w:lang w:bidi="ar-SA"/>
        </w:rPr>
        <w:t>exclusive permissions</w:t>
      </w:r>
      <w:r>
        <w:rPr>
          <w:lang w:bidi="ar-SA"/>
        </w:rPr>
        <w:t xml:space="preserve"> and related issues</w:t>
      </w:r>
    </w:p>
    <w:p w14:paraId="7197E9A0" w14:textId="77777777" w:rsidR="002334A9" w:rsidRPr="002334A9" w:rsidRDefault="002334A9" w:rsidP="00231BCA">
      <w:pPr>
        <w:rPr>
          <w:lang w:bidi="ar-SA"/>
        </w:rPr>
      </w:pPr>
    </w:p>
    <w:tbl>
      <w:tblPr>
        <w:tblStyle w:val="TableGrid2"/>
        <w:tblW w:w="14175" w:type="dxa"/>
        <w:tblLook w:val="06A0" w:firstRow="1" w:lastRow="0" w:firstColumn="1" w:lastColumn="0" w:noHBand="1" w:noVBand="1"/>
        <w:tblCaption w:val="Table 3. Submitters comments on exclusive permissions and related issues"/>
        <w:tblDescription w:val="Submitters provided comments on exclusive permissions for novel foods and the proposal to publish self-assessment dossiers"/>
      </w:tblPr>
      <w:tblGrid>
        <w:gridCol w:w="2058"/>
        <w:gridCol w:w="1165"/>
        <w:gridCol w:w="8131"/>
        <w:gridCol w:w="2821"/>
      </w:tblGrid>
      <w:tr w:rsidR="005554C7" w:rsidRPr="00056459" w14:paraId="33087ED5" w14:textId="77777777" w:rsidTr="00231BCA">
        <w:trPr>
          <w:tblHeader/>
        </w:trPr>
        <w:tc>
          <w:tcPr>
            <w:tcW w:w="2088" w:type="dxa"/>
            <w:tcBorders>
              <w:bottom w:val="single" w:sz="4" w:space="0" w:color="000000"/>
            </w:tcBorders>
            <w:shd w:val="clear" w:color="auto" w:fill="76923C" w:themeFill="accent3" w:themeFillShade="BF"/>
          </w:tcPr>
          <w:p w14:paraId="4552DFF6" w14:textId="77777777" w:rsidR="005554C7" w:rsidRPr="00056459" w:rsidRDefault="005554C7" w:rsidP="005554C7">
            <w:pPr>
              <w:rPr>
                <w:b/>
                <w:color w:val="FFFFFF" w:themeColor="background1"/>
              </w:rPr>
            </w:pPr>
            <w:r w:rsidRPr="00056459">
              <w:rPr>
                <w:b/>
                <w:color w:val="FFFFFF" w:themeColor="background1"/>
              </w:rPr>
              <w:t>Issue</w:t>
            </w:r>
          </w:p>
        </w:tc>
        <w:tc>
          <w:tcPr>
            <w:tcW w:w="1170" w:type="dxa"/>
            <w:tcBorders>
              <w:bottom w:val="single" w:sz="4" w:space="0" w:color="000000"/>
            </w:tcBorders>
            <w:shd w:val="clear" w:color="auto" w:fill="76923C" w:themeFill="accent3" w:themeFillShade="BF"/>
          </w:tcPr>
          <w:p w14:paraId="1766C3BA" w14:textId="77777777" w:rsidR="005554C7" w:rsidRPr="00056459" w:rsidRDefault="005554C7" w:rsidP="005554C7">
            <w:pPr>
              <w:rPr>
                <w:b/>
                <w:color w:val="FFFFFF" w:themeColor="background1"/>
              </w:rPr>
            </w:pPr>
            <w:r w:rsidRPr="00056459">
              <w:rPr>
                <w:b/>
                <w:color w:val="FFFFFF" w:themeColor="background1"/>
              </w:rPr>
              <w:t>Raised by</w:t>
            </w:r>
          </w:p>
        </w:tc>
        <w:tc>
          <w:tcPr>
            <w:tcW w:w="8370" w:type="dxa"/>
            <w:tcBorders>
              <w:bottom w:val="single" w:sz="4" w:space="0" w:color="000000"/>
            </w:tcBorders>
            <w:shd w:val="clear" w:color="auto" w:fill="76923C" w:themeFill="accent3" w:themeFillShade="BF"/>
          </w:tcPr>
          <w:p w14:paraId="5C6F6480" w14:textId="77777777" w:rsidR="005554C7" w:rsidRPr="00056459" w:rsidRDefault="005554C7" w:rsidP="005554C7">
            <w:pPr>
              <w:rPr>
                <w:b/>
                <w:color w:val="FFFFFF" w:themeColor="background1"/>
              </w:rPr>
            </w:pPr>
            <w:r w:rsidRPr="00056459">
              <w:rPr>
                <w:b/>
                <w:color w:val="FFFFFF" w:themeColor="background1"/>
              </w:rPr>
              <w:t>Submitter comments</w:t>
            </w:r>
          </w:p>
          <w:p w14:paraId="386F699A" w14:textId="77777777" w:rsidR="005554C7" w:rsidRPr="00056459" w:rsidRDefault="005554C7" w:rsidP="005554C7">
            <w:pPr>
              <w:rPr>
                <w:b/>
                <w:color w:val="FFFFFF" w:themeColor="background1"/>
              </w:rPr>
            </w:pPr>
          </w:p>
        </w:tc>
        <w:tc>
          <w:tcPr>
            <w:tcW w:w="2874" w:type="dxa"/>
            <w:tcBorders>
              <w:bottom w:val="single" w:sz="4" w:space="0" w:color="000000"/>
            </w:tcBorders>
            <w:shd w:val="clear" w:color="auto" w:fill="76923C" w:themeFill="accent3" w:themeFillShade="BF"/>
          </w:tcPr>
          <w:p w14:paraId="25331063" w14:textId="77777777" w:rsidR="005554C7" w:rsidRPr="00056459" w:rsidRDefault="005554C7" w:rsidP="005554C7">
            <w:pPr>
              <w:jc w:val="center"/>
              <w:rPr>
                <w:b/>
                <w:color w:val="FFFFFF" w:themeColor="background1"/>
              </w:rPr>
            </w:pPr>
            <w:r>
              <w:rPr>
                <w:b/>
                <w:color w:val="FFFFFF" w:themeColor="background1"/>
              </w:rPr>
              <w:t>Response</w:t>
            </w:r>
          </w:p>
        </w:tc>
      </w:tr>
      <w:tr w:rsidR="005554C7" w:rsidRPr="00056459" w14:paraId="51BDECFD" w14:textId="77777777" w:rsidTr="00231BCA">
        <w:tc>
          <w:tcPr>
            <w:tcW w:w="2088" w:type="dxa"/>
            <w:shd w:val="clear" w:color="auto" w:fill="auto"/>
          </w:tcPr>
          <w:p w14:paraId="67F67530" w14:textId="77777777" w:rsidR="005554C7" w:rsidRPr="00056459" w:rsidRDefault="005554C7" w:rsidP="005554C7">
            <w:pPr>
              <w:rPr>
                <w:sz w:val="20"/>
                <w:szCs w:val="20"/>
              </w:rPr>
            </w:pPr>
            <w:r w:rsidRPr="00056459">
              <w:rPr>
                <w:sz w:val="20"/>
                <w:szCs w:val="20"/>
              </w:rPr>
              <w:t>Does not support publication of dossiers</w:t>
            </w:r>
          </w:p>
        </w:tc>
        <w:tc>
          <w:tcPr>
            <w:tcW w:w="1170" w:type="dxa"/>
            <w:tcBorders>
              <w:bottom w:val="single" w:sz="4" w:space="0" w:color="000000"/>
            </w:tcBorders>
            <w:shd w:val="clear" w:color="auto" w:fill="auto"/>
          </w:tcPr>
          <w:p w14:paraId="74FA9B09" w14:textId="77777777" w:rsidR="005554C7" w:rsidRPr="00056459" w:rsidRDefault="005554C7" w:rsidP="005554C7">
            <w:pPr>
              <w:rPr>
                <w:sz w:val="20"/>
                <w:szCs w:val="20"/>
              </w:rPr>
            </w:pPr>
            <w:r w:rsidRPr="00056459">
              <w:rPr>
                <w:sz w:val="20"/>
                <w:szCs w:val="20"/>
              </w:rPr>
              <w:t>Aspen, ABC, AFGC, Comvita, Dairy, DCANZ, DN, Fonterra, GF, Nestlé</w:t>
            </w:r>
          </w:p>
        </w:tc>
        <w:tc>
          <w:tcPr>
            <w:tcW w:w="8370" w:type="dxa"/>
            <w:tcBorders>
              <w:bottom w:val="single" w:sz="4" w:space="0" w:color="000000"/>
            </w:tcBorders>
            <w:shd w:val="clear" w:color="auto" w:fill="auto"/>
          </w:tcPr>
          <w:p w14:paraId="4D1A97FD" w14:textId="4028DA13" w:rsidR="005554C7" w:rsidRDefault="005554C7" w:rsidP="005554C7">
            <w:pPr>
              <w:widowControl/>
              <w:autoSpaceDE w:val="0"/>
              <w:autoSpaceDN w:val="0"/>
              <w:adjustRightInd w:val="0"/>
              <w:rPr>
                <w:rFonts w:cs="Arial"/>
                <w:color w:val="000000"/>
                <w:sz w:val="20"/>
                <w:szCs w:val="20"/>
                <w:lang w:val="en-AU" w:eastAsia="en-GB" w:bidi="ar-SA"/>
              </w:rPr>
            </w:pPr>
            <w:r w:rsidRPr="00056459">
              <w:rPr>
                <w:rFonts w:cs="Arial"/>
                <w:color w:val="000000"/>
                <w:sz w:val="20"/>
                <w:szCs w:val="20"/>
                <w:lang w:val="en-AU" w:eastAsia="en-GB" w:bidi="ar-SA"/>
              </w:rPr>
              <w:t>The following comments were made in addition to expressing no support for the publication of dossiers:</w:t>
            </w:r>
          </w:p>
          <w:p w14:paraId="7A42D6E0" w14:textId="77777777" w:rsidR="00FE5B17" w:rsidRPr="00056459" w:rsidRDefault="00FE5B17" w:rsidP="005554C7">
            <w:pPr>
              <w:widowControl/>
              <w:autoSpaceDE w:val="0"/>
              <w:autoSpaceDN w:val="0"/>
              <w:adjustRightInd w:val="0"/>
              <w:rPr>
                <w:rFonts w:cs="Arial"/>
                <w:color w:val="000000"/>
                <w:sz w:val="20"/>
                <w:szCs w:val="20"/>
                <w:lang w:val="en-AU" w:eastAsia="en-GB" w:bidi="ar-SA"/>
              </w:rPr>
            </w:pPr>
          </w:p>
          <w:p w14:paraId="10459829" w14:textId="77777777" w:rsidR="005554C7" w:rsidRPr="009D0C23" w:rsidRDefault="005554C7" w:rsidP="00FE5B17">
            <w:pPr>
              <w:pStyle w:val="FSBullet1"/>
              <w:numPr>
                <w:ilvl w:val="0"/>
                <w:numId w:val="11"/>
              </w:numPr>
              <w:ind w:left="284" w:hanging="284"/>
              <w:rPr>
                <w:rFonts w:eastAsiaTheme="minorHAnsi" w:cstheme="minorBidi"/>
                <w:sz w:val="20"/>
              </w:rPr>
            </w:pPr>
            <w:r w:rsidRPr="009D0C23">
              <w:rPr>
                <w:rFonts w:eastAsiaTheme="minorHAnsi"/>
                <w:sz w:val="20"/>
              </w:rPr>
              <w:t xml:space="preserve">Recognises the principle that regulatory outcomes should be transparent. However there needs be a balance with information disclosure (ABC, AFGC, Comvita, GF). </w:t>
            </w:r>
          </w:p>
          <w:p w14:paraId="58EB08CD" w14:textId="6D51E5AB" w:rsidR="005554C7" w:rsidRPr="009D0C23" w:rsidRDefault="005554C7" w:rsidP="00FE5B17">
            <w:pPr>
              <w:pStyle w:val="FSBullet1"/>
              <w:numPr>
                <w:ilvl w:val="0"/>
                <w:numId w:val="11"/>
              </w:numPr>
              <w:ind w:left="284" w:hanging="284"/>
              <w:rPr>
                <w:color w:val="000000"/>
                <w:sz w:val="20"/>
                <w:lang w:val="en-AU" w:eastAsia="en-GB"/>
              </w:rPr>
            </w:pPr>
            <w:r w:rsidRPr="009D0C23">
              <w:rPr>
                <w:color w:val="000000"/>
                <w:sz w:val="20"/>
                <w:lang w:val="en-AU" w:eastAsia="en-GB"/>
              </w:rPr>
              <w:t>The 15 months exclusivity coupled with a reduced FSANZ approval process timeframe is not enough to fully offset the costs of developing intellectual property. As such, the self-assessment</w:t>
            </w:r>
            <w:r w:rsidR="00303B5E">
              <w:rPr>
                <w:color w:val="000000"/>
                <w:sz w:val="20"/>
                <w:lang w:val="en-AU" w:eastAsia="en-GB"/>
              </w:rPr>
              <w:t xml:space="preserve"> notification</w:t>
            </w:r>
            <w:r w:rsidRPr="009D0C23">
              <w:rPr>
                <w:color w:val="000000"/>
                <w:sz w:val="20"/>
                <w:lang w:val="en-AU" w:eastAsia="en-GB"/>
              </w:rPr>
              <w:t xml:space="preserve"> process will not provide an adequate trade-off against the publication of intellectual property (Dairy, Fonterra). Fonterra also stated that intellectual property can take decades to develop and may relate to multiple products, including products not yet on the market.</w:t>
            </w:r>
          </w:p>
          <w:p w14:paraId="4BBD8B3F" w14:textId="79E4B705" w:rsidR="005554C7" w:rsidRPr="009D0C23" w:rsidRDefault="005554C7" w:rsidP="00FE5B17">
            <w:pPr>
              <w:pStyle w:val="FSBullet1"/>
              <w:numPr>
                <w:ilvl w:val="0"/>
                <w:numId w:val="11"/>
              </w:numPr>
              <w:ind w:left="284" w:hanging="284"/>
              <w:rPr>
                <w:rFonts w:eastAsiaTheme="minorHAnsi" w:cstheme="minorBidi"/>
                <w:sz w:val="20"/>
              </w:rPr>
            </w:pPr>
            <w:r w:rsidRPr="009D0C23">
              <w:rPr>
                <w:rFonts w:eastAsiaTheme="minorHAnsi"/>
                <w:sz w:val="20"/>
              </w:rPr>
              <w:t>Details of who should hold the data and the level of access should take account of issues such as the intellectual property of the information (DN)</w:t>
            </w:r>
            <w:r w:rsidR="00303B5E">
              <w:rPr>
                <w:rFonts w:eastAsiaTheme="minorHAnsi"/>
                <w:sz w:val="20"/>
              </w:rPr>
              <w:t>.</w:t>
            </w:r>
          </w:p>
          <w:p w14:paraId="4193C382" w14:textId="77777777" w:rsidR="005554C7" w:rsidRPr="00056459" w:rsidRDefault="005554C7" w:rsidP="005554C7">
            <w:pPr>
              <w:widowControl/>
              <w:autoSpaceDE w:val="0"/>
              <w:autoSpaceDN w:val="0"/>
              <w:adjustRightInd w:val="0"/>
              <w:ind w:left="459"/>
              <w:rPr>
                <w:rFonts w:cs="Arial"/>
                <w:color w:val="000000"/>
                <w:sz w:val="20"/>
                <w:szCs w:val="20"/>
                <w:lang w:val="en-AU" w:eastAsia="en-GB" w:bidi="ar-SA"/>
              </w:rPr>
            </w:pPr>
          </w:p>
        </w:tc>
        <w:tc>
          <w:tcPr>
            <w:tcW w:w="2874" w:type="dxa"/>
            <w:tcBorders>
              <w:bottom w:val="single" w:sz="4" w:space="0" w:color="000000"/>
            </w:tcBorders>
          </w:tcPr>
          <w:p w14:paraId="586B46E3" w14:textId="77777777" w:rsidR="00303B5E" w:rsidRDefault="005554C7" w:rsidP="00303B5E">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FSANZ notes these comments were made in relation to the self-assessment notification route</w:t>
            </w:r>
            <w:r w:rsidR="00303B5E">
              <w:rPr>
                <w:rFonts w:cs="Arial"/>
                <w:color w:val="000000"/>
                <w:sz w:val="20"/>
                <w:szCs w:val="20"/>
                <w:lang w:val="en-AU" w:eastAsia="en-GB" w:bidi="ar-SA"/>
              </w:rPr>
              <w:t>, which has been removed from the modified framework (section 2.2 of the consultation paper)</w:t>
            </w:r>
            <w:r>
              <w:rPr>
                <w:rFonts w:cs="Arial"/>
                <w:color w:val="000000"/>
                <w:sz w:val="20"/>
                <w:szCs w:val="20"/>
                <w:lang w:val="en-AU" w:eastAsia="en-GB" w:bidi="ar-SA"/>
              </w:rPr>
              <w:t xml:space="preserve">. </w:t>
            </w:r>
          </w:p>
          <w:p w14:paraId="48B6211D" w14:textId="77777777" w:rsidR="00303B5E" w:rsidRDefault="00303B5E" w:rsidP="00303B5E">
            <w:pPr>
              <w:widowControl/>
              <w:autoSpaceDE w:val="0"/>
              <w:autoSpaceDN w:val="0"/>
              <w:adjustRightInd w:val="0"/>
              <w:rPr>
                <w:rFonts w:cs="Arial"/>
                <w:color w:val="000000"/>
                <w:sz w:val="20"/>
                <w:szCs w:val="20"/>
                <w:lang w:val="en-AU" w:eastAsia="en-GB" w:bidi="ar-SA"/>
              </w:rPr>
            </w:pPr>
          </w:p>
          <w:p w14:paraId="19895B37" w14:textId="46CD77C1" w:rsidR="005554C7" w:rsidRDefault="00303B5E" w:rsidP="00303B5E">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However, some of these issues are relevant to the review of exclusive permissions</w:t>
            </w:r>
            <w:r w:rsidR="00D61C57">
              <w:rPr>
                <w:rFonts w:cs="Arial"/>
                <w:color w:val="000000"/>
                <w:sz w:val="20"/>
                <w:szCs w:val="20"/>
                <w:lang w:val="en-AU" w:eastAsia="en-GB" w:bidi="ar-SA"/>
              </w:rPr>
              <w:t xml:space="preserve"> (</w:t>
            </w:r>
            <w:r>
              <w:rPr>
                <w:rFonts w:cs="Arial"/>
                <w:color w:val="000000"/>
                <w:sz w:val="20"/>
                <w:szCs w:val="20"/>
                <w:lang w:val="en-AU" w:eastAsia="en-GB" w:bidi="ar-SA"/>
              </w:rPr>
              <w:t>covered in section 3.1 of the consultation paper</w:t>
            </w:r>
            <w:r w:rsidR="00D61C57">
              <w:rPr>
                <w:rFonts w:cs="Arial"/>
                <w:color w:val="000000"/>
                <w:sz w:val="20"/>
                <w:szCs w:val="20"/>
                <w:lang w:val="en-AU" w:eastAsia="en-GB" w:bidi="ar-SA"/>
              </w:rPr>
              <w:t>) and will be further considered in that context</w:t>
            </w:r>
            <w:r w:rsidR="005554C7">
              <w:rPr>
                <w:rFonts w:cs="Arial"/>
                <w:color w:val="000000"/>
                <w:sz w:val="20"/>
                <w:szCs w:val="20"/>
                <w:lang w:val="en-AU" w:eastAsia="en-GB" w:bidi="ar-SA"/>
              </w:rPr>
              <w:t xml:space="preserve">. </w:t>
            </w:r>
          </w:p>
          <w:p w14:paraId="5CC020FA" w14:textId="268B4A82" w:rsidR="002334A9" w:rsidRPr="00056459" w:rsidRDefault="002334A9" w:rsidP="00303B5E">
            <w:pPr>
              <w:widowControl/>
              <w:autoSpaceDE w:val="0"/>
              <w:autoSpaceDN w:val="0"/>
              <w:adjustRightInd w:val="0"/>
              <w:rPr>
                <w:rFonts w:cs="Arial"/>
                <w:color w:val="000000"/>
                <w:sz w:val="20"/>
                <w:szCs w:val="20"/>
                <w:lang w:val="en-AU" w:eastAsia="en-GB" w:bidi="ar-SA"/>
              </w:rPr>
            </w:pPr>
          </w:p>
        </w:tc>
      </w:tr>
      <w:tr w:rsidR="000865E6" w:rsidRPr="00056459" w14:paraId="70B44971" w14:textId="77777777" w:rsidTr="00231BCA">
        <w:tc>
          <w:tcPr>
            <w:tcW w:w="2088" w:type="dxa"/>
            <w:shd w:val="clear" w:color="auto" w:fill="auto"/>
          </w:tcPr>
          <w:p w14:paraId="7E984654" w14:textId="1F197A0C" w:rsidR="000865E6" w:rsidRPr="00056459" w:rsidRDefault="000865E6" w:rsidP="005554C7">
            <w:pPr>
              <w:rPr>
                <w:sz w:val="20"/>
                <w:szCs w:val="20"/>
              </w:rPr>
            </w:pPr>
            <w:r w:rsidRPr="00A15CB9">
              <w:rPr>
                <w:rFonts w:cs="Arial"/>
                <w:sz w:val="20"/>
                <w:szCs w:val="20"/>
                <w:lang w:eastAsia="en-AU" w:bidi="ar-SA"/>
              </w:rPr>
              <w:t>Full publication of the industry self-assessment dossier is not viable</w:t>
            </w:r>
          </w:p>
        </w:tc>
        <w:tc>
          <w:tcPr>
            <w:tcW w:w="1170" w:type="dxa"/>
            <w:tcBorders>
              <w:bottom w:val="single" w:sz="4" w:space="0" w:color="000000"/>
            </w:tcBorders>
            <w:shd w:val="clear" w:color="auto" w:fill="auto"/>
          </w:tcPr>
          <w:p w14:paraId="32CEFB34" w14:textId="2F6BDBE0" w:rsidR="000865E6" w:rsidRPr="00056459" w:rsidRDefault="000865E6" w:rsidP="005554C7">
            <w:pPr>
              <w:rPr>
                <w:sz w:val="20"/>
                <w:szCs w:val="20"/>
              </w:rPr>
            </w:pPr>
            <w:r w:rsidRPr="00A15CB9">
              <w:rPr>
                <w:sz w:val="20"/>
                <w:szCs w:val="20"/>
              </w:rPr>
              <w:t>ABC, AFGC, Comvita, Dairy, DCANZ, Fonterra, Frucor, GF, Nestlé, NZFGC</w:t>
            </w:r>
          </w:p>
        </w:tc>
        <w:tc>
          <w:tcPr>
            <w:tcW w:w="8370" w:type="dxa"/>
            <w:tcBorders>
              <w:bottom w:val="single" w:sz="4" w:space="0" w:color="000000"/>
            </w:tcBorders>
            <w:shd w:val="clear" w:color="auto" w:fill="auto"/>
          </w:tcPr>
          <w:p w14:paraId="57DEFF15" w14:textId="6418EBA1" w:rsidR="000865E6" w:rsidRDefault="000865E6" w:rsidP="00020EF8">
            <w:pPr>
              <w:widowControl/>
              <w:autoSpaceDE w:val="0"/>
              <w:autoSpaceDN w:val="0"/>
              <w:adjustRightInd w:val="0"/>
              <w:rPr>
                <w:rFonts w:cs="Arial"/>
                <w:bCs/>
                <w:sz w:val="20"/>
                <w:szCs w:val="20"/>
                <w:lang w:val="en-AU" w:eastAsia="en-GB" w:bidi="ar-SA"/>
              </w:rPr>
            </w:pPr>
            <w:r w:rsidRPr="00A15CB9">
              <w:rPr>
                <w:rFonts w:cs="Arial"/>
                <w:bCs/>
                <w:sz w:val="20"/>
                <w:szCs w:val="20"/>
                <w:lang w:val="en-AU" w:eastAsia="en-GB" w:bidi="ar-SA"/>
              </w:rPr>
              <w:t>The full publication of industry self-assessment dossiers is not viable for the following reasons:</w:t>
            </w:r>
          </w:p>
          <w:p w14:paraId="2B147DD2" w14:textId="77777777" w:rsidR="00FE5B17" w:rsidRPr="00A15CB9" w:rsidRDefault="00FE5B17" w:rsidP="00020EF8">
            <w:pPr>
              <w:widowControl/>
              <w:autoSpaceDE w:val="0"/>
              <w:autoSpaceDN w:val="0"/>
              <w:adjustRightInd w:val="0"/>
              <w:rPr>
                <w:rFonts w:cs="Arial"/>
                <w:bCs/>
                <w:sz w:val="20"/>
                <w:szCs w:val="20"/>
                <w:lang w:val="en-AU" w:eastAsia="en-GB" w:bidi="ar-SA"/>
              </w:rPr>
            </w:pPr>
          </w:p>
          <w:p w14:paraId="20ECB940" w14:textId="77777777" w:rsidR="000865E6" w:rsidRPr="009D0C23" w:rsidRDefault="000865E6" w:rsidP="00FE5B17">
            <w:pPr>
              <w:pStyle w:val="FSBullet1"/>
              <w:numPr>
                <w:ilvl w:val="0"/>
                <w:numId w:val="11"/>
              </w:numPr>
              <w:ind w:left="284" w:hanging="284"/>
              <w:rPr>
                <w:color w:val="000000"/>
                <w:sz w:val="20"/>
                <w:lang w:val="en-AU" w:eastAsia="en-GB"/>
              </w:rPr>
            </w:pPr>
            <w:r w:rsidRPr="009D0C23">
              <w:rPr>
                <w:sz w:val="20"/>
                <w:lang w:val="en-AU" w:eastAsia="en-GB"/>
              </w:rPr>
              <w:t>The current proposal to publicise the full dossier provides no intellectual property protection (Dairy, DCANZ</w:t>
            </w:r>
            <w:bookmarkStart w:id="4" w:name="_GoBack"/>
            <w:bookmarkEnd w:id="4"/>
            <w:r w:rsidRPr="009D0C23">
              <w:rPr>
                <w:sz w:val="20"/>
                <w:lang w:val="en-AU" w:eastAsia="en-GB"/>
              </w:rPr>
              <w:t>, Fonterra, Frucor, NZFGC)</w:t>
            </w:r>
            <w:r w:rsidRPr="009D0C23">
              <w:rPr>
                <w:color w:val="000000"/>
                <w:sz w:val="20"/>
                <w:lang w:val="en-AU" w:eastAsia="en-GB"/>
              </w:rPr>
              <w:t xml:space="preserve">. </w:t>
            </w:r>
          </w:p>
          <w:p w14:paraId="348B7FF4" w14:textId="77777777" w:rsidR="000865E6" w:rsidRPr="009D0C23" w:rsidRDefault="000865E6" w:rsidP="00FE5B17">
            <w:pPr>
              <w:pStyle w:val="FSBullet1"/>
              <w:numPr>
                <w:ilvl w:val="0"/>
                <w:numId w:val="11"/>
              </w:numPr>
              <w:ind w:left="284" w:hanging="284"/>
              <w:rPr>
                <w:color w:val="000000"/>
                <w:sz w:val="20"/>
                <w:lang w:val="en-AU" w:eastAsia="en-GB"/>
              </w:rPr>
            </w:pPr>
            <w:r w:rsidRPr="009D0C23">
              <w:rPr>
                <w:color w:val="000000"/>
                <w:sz w:val="20"/>
                <w:lang w:val="en-AU" w:eastAsia="en-GB"/>
              </w:rPr>
              <w:t>Any requirement to disclose confidential information serves as a disincentive for companies to seek approval for innovative technology and even to invest in developing such technology in the first place (ABC, AFGC, GF, NZFGC)</w:t>
            </w:r>
          </w:p>
          <w:p w14:paraId="66B873DA" w14:textId="77777777" w:rsidR="000865E6" w:rsidRPr="009D0C23" w:rsidRDefault="000865E6" w:rsidP="00FE5B17">
            <w:pPr>
              <w:pStyle w:val="FSBullet1"/>
              <w:numPr>
                <w:ilvl w:val="0"/>
                <w:numId w:val="11"/>
              </w:numPr>
              <w:ind w:left="284" w:hanging="284"/>
              <w:rPr>
                <w:color w:val="000000"/>
                <w:sz w:val="20"/>
                <w:lang w:val="en-AU" w:eastAsia="en-GB"/>
              </w:rPr>
            </w:pPr>
            <w:r w:rsidRPr="009D0C23">
              <w:rPr>
                <w:color w:val="000000"/>
                <w:sz w:val="20"/>
                <w:lang w:val="en-AU" w:eastAsia="en-GB"/>
              </w:rPr>
              <w:t>Concerns over reputational risk arising from non-science based external challenge, or attack on published self-assessments, through the national media and the free rider effect where competitors could access the published information and prepare a similar dossier at lesser cost and time.</w:t>
            </w:r>
            <w:r w:rsidRPr="009D0C23">
              <w:rPr>
                <w:sz w:val="18"/>
                <w:szCs w:val="22"/>
              </w:rPr>
              <w:t xml:space="preserve"> </w:t>
            </w:r>
          </w:p>
          <w:p w14:paraId="4987C8F1"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7934913A" w14:textId="4D416596" w:rsidR="000865E6" w:rsidRDefault="000865E6" w:rsidP="00303B5E">
            <w:pPr>
              <w:widowControl/>
              <w:autoSpaceDE w:val="0"/>
              <w:autoSpaceDN w:val="0"/>
              <w:adjustRightInd w:val="0"/>
              <w:rPr>
                <w:rFonts w:cs="Arial"/>
                <w:color w:val="000000"/>
                <w:sz w:val="20"/>
                <w:szCs w:val="20"/>
                <w:lang w:val="en-AU" w:eastAsia="en-GB" w:bidi="ar-SA"/>
              </w:rPr>
            </w:pPr>
            <w:r>
              <w:rPr>
                <w:rFonts w:cs="Arial"/>
                <w:bCs/>
                <w:sz w:val="20"/>
                <w:szCs w:val="20"/>
                <w:lang w:val="en-AU" w:eastAsia="en-GB" w:bidi="ar-SA"/>
              </w:rPr>
              <w:t>As above.</w:t>
            </w:r>
          </w:p>
        </w:tc>
      </w:tr>
      <w:tr w:rsidR="000865E6" w:rsidRPr="00056459" w14:paraId="06AEDD4F" w14:textId="77777777" w:rsidTr="00231BCA">
        <w:tc>
          <w:tcPr>
            <w:tcW w:w="2088" w:type="dxa"/>
            <w:shd w:val="clear" w:color="auto" w:fill="auto"/>
          </w:tcPr>
          <w:p w14:paraId="6E072363" w14:textId="156583F0" w:rsidR="000865E6" w:rsidRPr="00056459" w:rsidRDefault="000865E6" w:rsidP="00FE5B17">
            <w:pPr>
              <w:pageBreakBefore/>
              <w:rPr>
                <w:sz w:val="20"/>
                <w:szCs w:val="20"/>
              </w:rPr>
            </w:pPr>
            <w:r w:rsidRPr="00056459">
              <w:rPr>
                <w:sz w:val="20"/>
                <w:szCs w:val="20"/>
              </w:rPr>
              <w:lastRenderedPageBreak/>
              <w:t>Supports publication of dossiers</w:t>
            </w:r>
          </w:p>
        </w:tc>
        <w:tc>
          <w:tcPr>
            <w:tcW w:w="1170" w:type="dxa"/>
            <w:tcBorders>
              <w:bottom w:val="single" w:sz="4" w:space="0" w:color="000000"/>
            </w:tcBorders>
            <w:shd w:val="clear" w:color="auto" w:fill="auto"/>
          </w:tcPr>
          <w:p w14:paraId="22E58C6C" w14:textId="7283445C" w:rsidR="000865E6" w:rsidRPr="00056459" w:rsidRDefault="000865E6" w:rsidP="005554C7">
            <w:pPr>
              <w:rPr>
                <w:sz w:val="20"/>
                <w:szCs w:val="20"/>
              </w:rPr>
            </w:pPr>
            <w:r w:rsidRPr="00056459">
              <w:rPr>
                <w:sz w:val="20"/>
                <w:szCs w:val="20"/>
              </w:rPr>
              <w:t>NZMPI</w:t>
            </w:r>
            <w:r>
              <w:rPr>
                <w:sz w:val="20"/>
                <w:szCs w:val="20"/>
              </w:rPr>
              <w:t>, FoE</w:t>
            </w:r>
          </w:p>
        </w:tc>
        <w:tc>
          <w:tcPr>
            <w:tcW w:w="8370" w:type="dxa"/>
            <w:tcBorders>
              <w:bottom w:val="single" w:sz="4" w:space="0" w:color="000000"/>
            </w:tcBorders>
            <w:shd w:val="clear" w:color="auto" w:fill="auto"/>
          </w:tcPr>
          <w:p w14:paraId="30E263C6" w14:textId="7FD52AD0" w:rsidR="000865E6" w:rsidRDefault="000865E6" w:rsidP="00020EF8">
            <w:pPr>
              <w:widowControl/>
              <w:autoSpaceDE w:val="0"/>
              <w:autoSpaceDN w:val="0"/>
              <w:adjustRightInd w:val="0"/>
              <w:rPr>
                <w:sz w:val="20"/>
                <w:szCs w:val="20"/>
              </w:rPr>
            </w:pPr>
            <w:r>
              <w:rPr>
                <w:sz w:val="20"/>
                <w:szCs w:val="20"/>
              </w:rPr>
              <w:t>NZMPI s</w:t>
            </w:r>
            <w:r w:rsidRPr="00056459">
              <w:rPr>
                <w:sz w:val="20"/>
                <w:szCs w:val="20"/>
              </w:rPr>
              <w:t>upports the notification and publication of dossiers, with two caveats:</w:t>
            </w:r>
          </w:p>
          <w:p w14:paraId="2FD866CC" w14:textId="77777777" w:rsidR="00FE5B17" w:rsidRPr="00056459" w:rsidRDefault="00FE5B17" w:rsidP="00020EF8">
            <w:pPr>
              <w:widowControl/>
              <w:autoSpaceDE w:val="0"/>
              <w:autoSpaceDN w:val="0"/>
              <w:adjustRightInd w:val="0"/>
              <w:rPr>
                <w:sz w:val="20"/>
                <w:szCs w:val="20"/>
              </w:rPr>
            </w:pPr>
          </w:p>
          <w:p w14:paraId="781A8169" w14:textId="77777777" w:rsidR="000865E6" w:rsidRPr="009D0C23" w:rsidRDefault="000865E6" w:rsidP="00FE5B17">
            <w:pPr>
              <w:pStyle w:val="FSBullet1"/>
              <w:numPr>
                <w:ilvl w:val="0"/>
                <w:numId w:val="11"/>
              </w:numPr>
              <w:ind w:left="284" w:hanging="284"/>
              <w:rPr>
                <w:rFonts w:eastAsiaTheme="minorHAnsi"/>
                <w:sz w:val="20"/>
              </w:rPr>
            </w:pPr>
            <w:r w:rsidRPr="009D0C23">
              <w:rPr>
                <w:rFonts w:eastAsiaTheme="minorHAnsi"/>
                <w:sz w:val="20"/>
              </w:rPr>
              <w:t>Supports some form of data protection of the information published on the dossier</w:t>
            </w:r>
          </w:p>
          <w:p w14:paraId="2BE39B39" w14:textId="77777777" w:rsidR="000865E6" w:rsidRPr="009D0C23" w:rsidRDefault="000865E6" w:rsidP="00FE5B17">
            <w:pPr>
              <w:pStyle w:val="FSBullet1"/>
              <w:numPr>
                <w:ilvl w:val="0"/>
                <w:numId w:val="11"/>
              </w:numPr>
              <w:ind w:left="284" w:hanging="284"/>
              <w:rPr>
                <w:rFonts w:eastAsiaTheme="minorHAnsi"/>
                <w:sz w:val="20"/>
              </w:rPr>
            </w:pPr>
            <w:r w:rsidRPr="009D0C23">
              <w:rPr>
                <w:rFonts w:eastAsiaTheme="minorHAnsi"/>
                <w:sz w:val="20"/>
              </w:rPr>
              <w:t>There is enough information published to demonstrate that the dossier was assessed objectively by the self-assessor (i.e. the business) and by the food regulators/authorities.</w:t>
            </w:r>
          </w:p>
          <w:p w14:paraId="5B48BDA9"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10A0DF9A" w14:textId="3F060005" w:rsidR="000865E6" w:rsidRDefault="000865E6" w:rsidP="00303B5E">
            <w:pPr>
              <w:widowControl/>
              <w:autoSpaceDE w:val="0"/>
              <w:autoSpaceDN w:val="0"/>
              <w:adjustRightInd w:val="0"/>
              <w:rPr>
                <w:rFonts w:cs="Arial"/>
                <w:color w:val="000000"/>
                <w:sz w:val="20"/>
                <w:szCs w:val="20"/>
                <w:lang w:val="en-AU" w:eastAsia="en-GB" w:bidi="ar-SA"/>
              </w:rPr>
            </w:pPr>
            <w:r>
              <w:rPr>
                <w:sz w:val="20"/>
                <w:szCs w:val="20"/>
              </w:rPr>
              <w:t>As above.</w:t>
            </w:r>
          </w:p>
        </w:tc>
      </w:tr>
      <w:tr w:rsidR="000865E6" w:rsidRPr="00056459" w14:paraId="10BD535F" w14:textId="77777777" w:rsidTr="00231BCA">
        <w:tc>
          <w:tcPr>
            <w:tcW w:w="2088" w:type="dxa"/>
            <w:shd w:val="clear" w:color="auto" w:fill="auto"/>
          </w:tcPr>
          <w:p w14:paraId="1E2CF14E" w14:textId="18C3498A" w:rsidR="000865E6" w:rsidRPr="00056459" w:rsidRDefault="000865E6" w:rsidP="005554C7">
            <w:pPr>
              <w:rPr>
                <w:sz w:val="20"/>
                <w:szCs w:val="20"/>
              </w:rPr>
            </w:pPr>
            <w:r w:rsidRPr="00056459">
              <w:rPr>
                <w:sz w:val="20"/>
                <w:szCs w:val="20"/>
              </w:rPr>
              <w:t xml:space="preserve">Alternative dossier - a short version could be made public </w:t>
            </w:r>
          </w:p>
        </w:tc>
        <w:tc>
          <w:tcPr>
            <w:tcW w:w="1170" w:type="dxa"/>
            <w:tcBorders>
              <w:bottom w:val="single" w:sz="4" w:space="0" w:color="000000"/>
            </w:tcBorders>
            <w:shd w:val="clear" w:color="auto" w:fill="auto"/>
          </w:tcPr>
          <w:p w14:paraId="3D3203EB" w14:textId="16E8F898" w:rsidR="000865E6" w:rsidRPr="00056459" w:rsidRDefault="000865E6" w:rsidP="005554C7">
            <w:pPr>
              <w:rPr>
                <w:sz w:val="20"/>
                <w:szCs w:val="20"/>
              </w:rPr>
            </w:pPr>
            <w:r w:rsidRPr="00056459">
              <w:rPr>
                <w:sz w:val="20"/>
                <w:szCs w:val="20"/>
              </w:rPr>
              <w:t>Aspen, Dairy, Fonterra, Frucor, INC, NZFGC</w:t>
            </w:r>
          </w:p>
        </w:tc>
        <w:tc>
          <w:tcPr>
            <w:tcW w:w="8370" w:type="dxa"/>
            <w:tcBorders>
              <w:bottom w:val="single" w:sz="4" w:space="0" w:color="000000"/>
            </w:tcBorders>
            <w:shd w:val="clear" w:color="auto" w:fill="auto"/>
          </w:tcPr>
          <w:p w14:paraId="0295A14F" w14:textId="78A8B303" w:rsidR="000865E6" w:rsidRDefault="000865E6" w:rsidP="00020EF8">
            <w:pPr>
              <w:widowControl/>
              <w:autoSpaceDE w:val="0"/>
              <w:autoSpaceDN w:val="0"/>
              <w:adjustRightInd w:val="0"/>
              <w:rPr>
                <w:rFonts w:cs="Arial"/>
                <w:color w:val="000000"/>
                <w:sz w:val="20"/>
                <w:szCs w:val="20"/>
                <w:lang w:val="en-AU" w:eastAsia="en-GB" w:bidi="ar-SA"/>
              </w:rPr>
            </w:pPr>
            <w:r w:rsidRPr="00056459">
              <w:rPr>
                <w:rFonts w:cs="Arial"/>
                <w:color w:val="000000"/>
                <w:sz w:val="20"/>
                <w:szCs w:val="20"/>
                <w:lang w:val="en-AU" w:eastAsia="en-GB" w:bidi="ar-SA"/>
              </w:rPr>
              <w:t>Suggests that a summary or shortened version of this information is made public rather than the company’s complete dossier.</w:t>
            </w:r>
          </w:p>
          <w:p w14:paraId="7AE86276" w14:textId="77777777" w:rsidR="00FE5B17" w:rsidRPr="00056459" w:rsidRDefault="00FE5B17" w:rsidP="00020EF8">
            <w:pPr>
              <w:widowControl/>
              <w:autoSpaceDE w:val="0"/>
              <w:autoSpaceDN w:val="0"/>
              <w:adjustRightInd w:val="0"/>
              <w:rPr>
                <w:rFonts w:cs="Arial"/>
                <w:color w:val="000000"/>
                <w:sz w:val="20"/>
                <w:szCs w:val="20"/>
                <w:lang w:val="en-AU" w:eastAsia="en-GB" w:bidi="ar-SA"/>
              </w:rPr>
            </w:pPr>
          </w:p>
          <w:p w14:paraId="415A0F1E" w14:textId="77777777" w:rsidR="000865E6" w:rsidRPr="009D0C23" w:rsidRDefault="000865E6" w:rsidP="00FE5B17">
            <w:pPr>
              <w:pStyle w:val="FSBullet1"/>
              <w:numPr>
                <w:ilvl w:val="0"/>
                <w:numId w:val="11"/>
              </w:numPr>
              <w:ind w:left="284" w:hanging="284"/>
              <w:rPr>
                <w:sz w:val="20"/>
                <w:lang w:val="en-AU" w:eastAsia="en-GB"/>
              </w:rPr>
            </w:pPr>
            <w:r w:rsidRPr="009D0C23">
              <w:rPr>
                <w:sz w:val="20"/>
                <w:lang w:val="en-AU" w:eastAsia="en-GB"/>
              </w:rPr>
              <w:t>At a minimum the information that is made public would include reference to scientific evidence demonstrating the food does not pose a safety risk to human health. This would ensure confidentiality of sensitive information is protected whilst keeping the public’s confidence in the safety of new foods supplied to the market (Aspen).</w:t>
            </w:r>
          </w:p>
          <w:p w14:paraId="42CD2C42"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5427AA4E" w14:textId="53780D8A" w:rsidR="000865E6" w:rsidRDefault="000865E6" w:rsidP="00303B5E">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As above.</w:t>
            </w:r>
          </w:p>
        </w:tc>
      </w:tr>
      <w:tr w:rsidR="000865E6" w:rsidRPr="00056459" w14:paraId="1EE2EC4A" w14:textId="77777777" w:rsidTr="00231BCA">
        <w:tc>
          <w:tcPr>
            <w:tcW w:w="2088" w:type="dxa"/>
            <w:shd w:val="clear" w:color="auto" w:fill="auto"/>
          </w:tcPr>
          <w:p w14:paraId="3A7B9DAF" w14:textId="018B57A0" w:rsidR="000865E6" w:rsidRPr="00056459" w:rsidRDefault="000865E6" w:rsidP="005554C7">
            <w:pPr>
              <w:rPr>
                <w:sz w:val="20"/>
                <w:szCs w:val="20"/>
              </w:rPr>
            </w:pPr>
            <w:r w:rsidRPr="00056459">
              <w:rPr>
                <w:sz w:val="20"/>
                <w:szCs w:val="20"/>
              </w:rPr>
              <w:t>Alternative dossier - intellectual property is provided to enforcement authorities only</w:t>
            </w:r>
          </w:p>
        </w:tc>
        <w:tc>
          <w:tcPr>
            <w:tcW w:w="1170" w:type="dxa"/>
            <w:tcBorders>
              <w:bottom w:val="single" w:sz="4" w:space="0" w:color="000000"/>
            </w:tcBorders>
            <w:shd w:val="clear" w:color="auto" w:fill="auto"/>
          </w:tcPr>
          <w:p w14:paraId="335D1778" w14:textId="59AD3545" w:rsidR="000865E6" w:rsidRPr="00056459" w:rsidRDefault="000865E6" w:rsidP="005554C7">
            <w:pPr>
              <w:rPr>
                <w:sz w:val="20"/>
                <w:szCs w:val="20"/>
              </w:rPr>
            </w:pPr>
            <w:r w:rsidRPr="00056459">
              <w:rPr>
                <w:sz w:val="20"/>
                <w:szCs w:val="20"/>
              </w:rPr>
              <w:t>Aspen, Comvita, Dairy, DCANZ, DN, Nestlé, NZFGC</w:t>
            </w:r>
          </w:p>
        </w:tc>
        <w:tc>
          <w:tcPr>
            <w:tcW w:w="8370" w:type="dxa"/>
            <w:tcBorders>
              <w:bottom w:val="single" w:sz="4" w:space="0" w:color="000000"/>
            </w:tcBorders>
            <w:shd w:val="clear" w:color="auto" w:fill="auto"/>
          </w:tcPr>
          <w:p w14:paraId="64E16EFC" w14:textId="26F3A46C" w:rsidR="000865E6" w:rsidRDefault="000865E6" w:rsidP="00020EF8">
            <w:pPr>
              <w:widowControl/>
              <w:autoSpaceDE w:val="0"/>
              <w:autoSpaceDN w:val="0"/>
              <w:adjustRightInd w:val="0"/>
              <w:rPr>
                <w:rFonts w:cs="Arial"/>
                <w:color w:val="000000"/>
                <w:sz w:val="20"/>
                <w:szCs w:val="20"/>
                <w:lang w:eastAsia="en-GB" w:bidi="ar-SA"/>
              </w:rPr>
            </w:pPr>
            <w:r w:rsidRPr="00056459">
              <w:rPr>
                <w:rFonts w:cs="Arial"/>
                <w:color w:val="000000"/>
                <w:sz w:val="20"/>
                <w:szCs w:val="20"/>
                <w:lang w:eastAsia="en-GB" w:bidi="ar-SA"/>
              </w:rPr>
              <w:t>Commercially sensitive information should only be provided to the authorities (jurisdiction enforcement agencies), rather than included in a publicly available dossier, similar to the arrangements fo</w:t>
            </w:r>
            <w:r w:rsidR="00FE5B17">
              <w:rPr>
                <w:rFonts w:cs="Arial"/>
                <w:color w:val="000000"/>
                <w:sz w:val="20"/>
                <w:szCs w:val="20"/>
                <w:lang w:eastAsia="en-GB" w:bidi="ar-SA"/>
              </w:rPr>
              <w:t>r health claims substantiation:</w:t>
            </w:r>
          </w:p>
          <w:p w14:paraId="28D57022" w14:textId="77777777" w:rsidR="00FE5B17" w:rsidRPr="00056459" w:rsidRDefault="00FE5B17" w:rsidP="00020EF8">
            <w:pPr>
              <w:widowControl/>
              <w:autoSpaceDE w:val="0"/>
              <w:autoSpaceDN w:val="0"/>
              <w:adjustRightInd w:val="0"/>
              <w:rPr>
                <w:rFonts w:cs="Arial"/>
                <w:color w:val="000000"/>
                <w:sz w:val="20"/>
                <w:szCs w:val="20"/>
                <w:lang w:eastAsia="en-GB" w:bidi="ar-SA"/>
              </w:rPr>
            </w:pPr>
          </w:p>
          <w:p w14:paraId="376B9376" w14:textId="77777777" w:rsidR="000865E6" w:rsidRPr="009D0C23" w:rsidRDefault="000865E6" w:rsidP="00FE5B17">
            <w:pPr>
              <w:pStyle w:val="FSBullet1"/>
              <w:numPr>
                <w:ilvl w:val="0"/>
                <w:numId w:val="11"/>
              </w:numPr>
              <w:ind w:left="284" w:hanging="284"/>
              <w:rPr>
                <w:rFonts w:eastAsiaTheme="minorHAnsi"/>
                <w:color w:val="000000"/>
                <w:sz w:val="20"/>
                <w:lang w:eastAsia="en-GB"/>
              </w:rPr>
            </w:pPr>
            <w:r w:rsidRPr="009D0C23">
              <w:rPr>
                <w:rFonts w:eastAsiaTheme="minorHAnsi"/>
                <w:sz w:val="20"/>
              </w:rPr>
              <w:t>NZFGC also added that it would oppose the extension of this arrangement to retailers since many retailers are also competitors (with home brands) thus resulting in a dilution of investment and innovation.</w:t>
            </w:r>
          </w:p>
          <w:p w14:paraId="155A28B8"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3ED8D151" w14:textId="3855B3F2" w:rsidR="000865E6" w:rsidRPr="00231BCA" w:rsidRDefault="000865E6" w:rsidP="002334A9">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As above.</w:t>
            </w:r>
          </w:p>
        </w:tc>
      </w:tr>
      <w:tr w:rsidR="000865E6" w:rsidRPr="00056459" w14:paraId="00BFE4FF" w14:textId="77777777" w:rsidTr="00231BCA">
        <w:tc>
          <w:tcPr>
            <w:tcW w:w="14502" w:type="dxa"/>
            <w:gridSpan w:val="4"/>
            <w:shd w:val="clear" w:color="auto" w:fill="EAF1DD" w:themeFill="accent3" w:themeFillTint="33"/>
          </w:tcPr>
          <w:p w14:paraId="02BBFC04" w14:textId="3DEEAA02" w:rsidR="000865E6" w:rsidRDefault="000865E6" w:rsidP="00303B5E">
            <w:pPr>
              <w:widowControl/>
              <w:autoSpaceDE w:val="0"/>
              <w:autoSpaceDN w:val="0"/>
              <w:adjustRightInd w:val="0"/>
              <w:rPr>
                <w:rFonts w:cs="Arial"/>
                <w:color w:val="000000"/>
                <w:sz w:val="20"/>
                <w:szCs w:val="20"/>
                <w:lang w:val="en-AU" w:eastAsia="en-GB" w:bidi="ar-SA"/>
              </w:rPr>
            </w:pPr>
            <w:r>
              <w:rPr>
                <w:rFonts w:cs="Arial"/>
                <w:b/>
                <w:iCs/>
                <w:sz w:val="20"/>
                <w:szCs w:val="20"/>
                <w:lang w:eastAsia="en-GB" w:bidi="ar-SA"/>
              </w:rPr>
              <w:t>CFS Question:</w:t>
            </w:r>
            <w:r w:rsidRPr="00261CC2">
              <w:rPr>
                <w:rFonts w:cs="Arial"/>
                <w:b/>
                <w:iCs/>
                <w:sz w:val="20"/>
                <w:szCs w:val="20"/>
                <w:lang w:eastAsia="en-GB" w:bidi="ar-SA"/>
              </w:rPr>
              <w:t xml:space="preserve"> </w:t>
            </w:r>
            <w:r w:rsidRPr="00D80DD9">
              <w:rPr>
                <w:rFonts w:cs="Arial"/>
                <w:b/>
                <w:iCs/>
                <w:sz w:val="20"/>
                <w:szCs w:val="20"/>
                <w:lang w:eastAsia="en-GB" w:bidi="ar-SA"/>
              </w:rPr>
              <w:t>Do you support retaining the provision to grant exclusive permission in the Code for foods approved by FSANZ? Please provide reasons for your view.</w:t>
            </w:r>
          </w:p>
        </w:tc>
      </w:tr>
      <w:tr w:rsidR="000865E6" w:rsidRPr="00056459" w14:paraId="4531B239" w14:textId="77777777" w:rsidTr="00231BCA">
        <w:tc>
          <w:tcPr>
            <w:tcW w:w="2088" w:type="dxa"/>
            <w:shd w:val="clear" w:color="auto" w:fill="auto"/>
          </w:tcPr>
          <w:p w14:paraId="69E79163" w14:textId="7FBBC977" w:rsidR="000865E6" w:rsidRPr="00056459" w:rsidRDefault="000865E6" w:rsidP="005554C7">
            <w:pPr>
              <w:rPr>
                <w:sz w:val="20"/>
                <w:szCs w:val="20"/>
              </w:rPr>
            </w:pPr>
            <w:r>
              <w:rPr>
                <w:sz w:val="20"/>
                <w:szCs w:val="20"/>
              </w:rPr>
              <w:t>S</w:t>
            </w:r>
            <w:r w:rsidRPr="00BB38D8">
              <w:rPr>
                <w:sz w:val="20"/>
                <w:szCs w:val="20"/>
              </w:rPr>
              <w:t>upport retaining exclusive permissions in the Code for foods approved by FSANZ.</w:t>
            </w:r>
          </w:p>
        </w:tc>
        <w:tc>
          <w:tcPr>
            <w:tcW w:w="1170" w:type="dxa"/>
            <w:tcBorders>
              <w:bottom w:val="single" w:sz="4" w:space="0" w:color="000000"/>
            </w:tcBorders>
            <w:shd w:val="clear" w:color="auto" w:fill="auto"/>
          </w:tcPr>
          <w:p w14:paraId="73C16B1D" w14:textId="622CDB55" w:rsidR="000865E6" w:rsidRPr="00056459" w:rsidRDefault="000865E6" w:rsidP="005554C7">
            <w:pPr>
              <w:rPr>
                <w:sz w:val="20"/>
                <w:szCs w:val="20"/>
              </w:rPr>
            </w:pPr>
            <w:r>
              <w:rPr>
                <w:sz w:val="20"/>
                <w:szCs w:val="20"/>
              </w:rPr>
              <w:t>Comvita, Dairy, DN, Fonterra, Frucor, INC, Nestlé, NZMPI, SA, NZFGC</w:t>
            </w:r>
          </w:p>
        </w:tc>
        <w:tc>
          <w:tcPr>
            <w:tcW w:w="8370" w:type="dxa"/>
            <w:tcBorders>
              <w:bottom w:val="single" w:sz="4" w:space="0" w:color="000000"/>
            </w:tcBorders>
            <w:shd w:val="clear" w:color="auto" w:fill="auto"/>
          </w:tcPr>
          <w:p w14:paraId="6DE72484" w14:textId="08B2A358" w:rsidR="000865E6" w:rsidRDefault="000865E6" w:rsidP="00020EF8">
            <w:pPr>
              <w:rPr>
                <w:sz w:val="20"/>
                <w:szCs w:val="20"/>
              </w:rPr>
            </w:pPr>
            <w:r>
              <w:rPr>
                <w:sz w:val="20"/>
                <w:szCs w:val="20"/>
              </w:rPr>
              <w:t>A number of these submitters also made additional comments associated with their support.</w:t>
            </w:r>
          </w:p>
          <w:p w14:paraId="48311666" w14:textId="77777777" w:rsidR="00FE5B17" w:rsidRDefault="00FE5B17" w:rsidP="00020EF8">
            <w:pPr>
              <w:rPr>
                <w:sz w:val="20"/>
                <w:szCs w:val="20"/>
              </w:rPr>
            </w:pPr>
          </w:p>
          <w:p w14:paraId="5770D795" w14:textId="77777777" w:rsidR="000865E6" w:rsidRPr="009D0C23" w:rsidRDefault="000865E6" w:rsidP="00FE5B17">
            <w:pPr>
              <w:pStyle w:val="FSBullet1"/>
              <w:numPr>
                <w:ilvl w:val="0"/>
                <w:numId w:val="11"/>
              </w:numPr>
              <w:ind w:left="284" w:hanging="284"/>
              <w:rPr>
                <w:sz w:val="20"/>
              </w:rPr>
            </w:pPr>
            <w:r w:rsidRPr="009D0C23">
              <w:rPr>
                <w:sz w:val="20"/>
              </w:rPr>
              <w:t xml:space="preserve">NZFGC added the caveat that exclusivity should apply to notification of industry self-assessed substances. </w:t>
            </w:r>
          </w:p>
          <w:p w14:paraId="1F0B6418" w14:textId="57D488B3" w:rsidR="000865E6" w:rsidRDefault="000865E6" w:rsidP="00FE5B17">
            <w:pPr>
              <w:pStyle w:val="FSBullet1"/>
              <w:numPr>
                <w:ilvl w:val="0"/>
                <w:numId w:val="11"/>
              </w:numPr>
              <w:ind w:left="284" w:hanging="284"/>
              <w:rPr>
                <w:sz w:val="20"/>
              </w:rPr>
            </w:pPr>
            <w:r w:rsidRPr="009D0C23">
              <w:rPr>
                <w:sz w:val="20"/>
              </w:rPr>
              <w:t>Exclusivity provides a competitive advantage for the innovative business seeking approval and enables it to recoup some of the costs associated with providing dossiers for a FSANZ safety assessment (NZMPI).</w:t>
            </w:r>
          </w:p>
          <w:p w14:paraId="0F8D122C" w14:textId="0EC1B74B" w:rsidR="00FE5B17" w:rsidRDefault="00FE5B17" w:rsidP="00FE5B17">
            <w:pPr>
              <w:rPr>
                <w:lang w:bidi="ar-SA"/>
              </w:rPr>
            </w:pPr>
          </w:p>
          <w:p w14:paraId="38A16C52" w14:textId="7EBA744E" w:rsidR="00FE5B17" w:rsidRDefault="00FE5B17" w:rsidP="00FE5B17">
            <w:pPr>
              <w:rPr>
                <w:lang w:bidi="ar-SA"/>
              </w:rPr>
            </w:pPr>
          </w:p>
          <w:p w14:paraId="520CDD9B" w14:textId="77777777" w:rsidR="00FE5B17" w:rsidRPr="00FE5B17" w:rsidRDefault="00FE5B17" w:rsidP="00FE5B17">
            <w:pPr>
              <w:rPr>
                <w:lang w:bidi="ar-SA"/>
              </w:rPr>
            </w:pPr>
          </w:p>
          <w:p w14:paraId="130BB4F4" w14:textId="77777777" w:rsidR="000865E6" w:rsidRPr="009D0C23" w:rsidRDefault="000865E6" w:rsidP="00FE5B17">
            <w:pPr>
              <w:pStyle w:val="FSBullet1"/>
              <w:numPr>
                <w:ilvl w:val="0"/>
                <w:numId w:val="11"/>
              </w:numPr>
              <w:ind w:left="284" w:hanging="284"/>
              <w:rPr>
                <w:sz w:val="20"/>
              </w:rPr>
            </w:pPr>
            <w:r w:rsidRPr="009D0C23">
              <w:rPr>
                <w:color w:val="000000"/>
                <w:sz w:val="20"/>
                <w:lang w:eastAsia="en-GB"/>
              </w:rPr>
              <w:lastRenderedPageBreak/>
              <w:t>The exclusivity period should be increased to align with other jurisdictions. The EU Novel Foods system offers data protection, such that evidence and proprietary data cannot be used for the benefit of another application for 5 years after the novel food has been authorised (Comvita).</w:t>
            </w:r>
            <w:r w:rsidRPr="009D0C23">
              <w:rPr>
                <w:sz w:val="20"/>
              </w:rPr>
              <w:t xml:space="preserve"> </w:t>
            </w:r>
          </w:p>
          <w:p w14:paraId="4329AC03" w14:textId="77777777" w:rsidR="000865E6" w:rsidRPr="009D0C23" w:rsidRDefault="000865E6" w:rsidP="00FE5B17">
            <w:pPr>
              <w:pStyle w:val="FSBullet1"/>
              <w:numPr>
                <w:ilvl w:val="0"/>
                <w:numId w:val="11"/>
              </w:numPr>
              <w:ind w:left="284" w:hanging="284"/>
              <w:rPr>
                <w:sz w:val="20"/>
              </w:rPr>
            </w:pPr>
            <w:r w:rsidRPr="009D0C23">
              <w:rPr>
                <w:sz w:val="20"/>
              </w:rPr>
              <w:t>The provision of exclusivity may require further consideration in relation to a situation where FSANZ receives a request for pre-market approval with exclusivity for two identical (or near identical) products at the same time (Fonterra, NZFGC).</w:t>
            </w:r>
          </w:p>
          <w:p w14:paraId="771D59D0" w14:textId="77777777" w:rsidR="00FE5B17" w:rsidRDefault="00FE5B17" w:rsidP="005554C7">
            <w:pPr>
              <w:widowControl/>
              <w:autoSpaceDE w:val="0"/>
              <w:autoSpaceDN w:val="0"/>
              <w:adjustRightInd w:val="0"/>
              <w:rPr>
                <w:sz w:val="20"/>
              </w:rPr>
            </w:pPr>
          </w:p>
          <w:p w14:paraId="738A7AAD" w14:textId="079B97DB" w:rsidR="000865E6" w:rsidRDefault="000865E6" w:rsidP="005554C7">
            <w:pPr>
              <w:widowControl/>
              <w:autoSpaceDE w:val="0"/>
              <w:autoSpaceDN w:val="0"/>
              <w:adjustRightInd w:val="0"/>
              <w:rPr>
                <w:sz w:val="20"/>
              </w:rPr>
            </w:pPr>
            <w:r w:rsidRPr="009D0C23">
              <w:rPr>
                <w:sz w:val="20"/>
              </w:rPr>
              <w:t>Exclusive permissions in the Code allow for clarity in interpretation and thus ease of communication, implementation and establishing compliance strategies (SA)</w:t>
            </w:r>
          </w:p>
          <w:p w14:paraId="5E3723CE" w14:textId="30B8D1D9" w:rsidR="002334A9" w:rsidRPr="00056459" w:rsidRDefault="002334A9"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0464320C" w14:textId="77777777" w:rsidR="00337C28" w:rsidRDefault="000865E6" w:rsidP="00020EF8">
            <w:pPr>
              <w:rPr>
                <w:sz w:val="20"/>
                <w:szCs w:val="20"/>
              </w:rPr>
            </w:pPr>
            <w:r>
              <w:rPr>
                <w:sz w:val="20"/>
                <w:szCs w:val="20"/>
              </w:rPr>
              <w:lastRenderedPageBreak/>
              <w:t xml:space="preserve">Support for the current exclusive permission arrangement is noted, as is the view these should be extended. </w:t>
            </w:r>
          </w:p>
          <w:p w14:paraId="58990B23" w14:textId="77777777" w:rsidR="00337C28" w:rsidRDefault="00337C28" w:rsidP="00020EF8">
            <w:pPr>
              <w:rPr>
                <w:sz w:val="20"/>
                <w:szCs w:val="20"/>
              </w:rPr>
            </w:pPr>
          </w:p>
          <w:p w14:paraId="3D5734BE" w14:textId="024D268B" w:rsidR="000865E6" w:rsidRDefault="000865E6" w:rsidP="00020EF8">
            <w:pPr>
              <w:rPr>
                <w:sz w:val="20"/>
                <w:szCs w:val="20"/>
              </w:rPr>
            </w:pPr>
            <w:r>
              <w:rPr>
                <w:sz w:val="20"/>
                <w:szCs w:val="20"/>
              </w:rPr>
              <w:t>FSANZ is seeking further input on the review of the exclusive permission arrangement (section 3.1 of the consultation paper).</w:t>
            </w:r>
          </w:p>
          <w:p w14:paraId="558F3EBB" w14:textId="77777777" w:rsidR="000865E6" w:rsidRDefault="000865E6" w:rsidP="00020EF8">
            <w:pPr>
              <w:rPr>
                <w:sz w:val="20"/>
                <w:szCs w:val="20"/>
              </w:rPr>
            </w:pPr>
          </w:p>
          <w:p w14:paraId="046581D0" w14:textId="73666060" w:rsidR="000865E6" w:rsidRDefault="000865E6" w:rsidP="00303B5E">
            <w:pPr>
              <w:widowControl/>
              <w:autoSpaceDE w:val="0"/>
              <w:autoSpaceDN w:val="0"/>
              <w:adjustRightInd w:val="0"/>
              <w:rPr>
                <w:rFonts w:cs="Arial"/>
                <w:color w:val="000000"/>
                <w:sz w:val="20"/>
                <w:szCs w:val="20"/>
                <w:lang w:val="en-AU" w:eastAsia="en-GB" w:bidi="ar-SA"/>
              </w:rPr>
            </w:pPr>
            <w:r>
              <w:rPr>
                <w:sz w:val="20"/>
                <w:szCs w:val="20"/>
              </w:rPr>
              <w:t xml:space="preserve">Currently if two applications are received for the same food, both may be granted exclusive permission (if requested). </w:t>
            </w:r>
          </w:p>
        </w:tc>
      </w:tr>
      <w:tr w:rsidR="000865E6" w:rsidRPr="00056459" w14:paraId="43E7B630" w14:textId="77777777" w:rsidTr="00231BCA">
        <w:tc>
          <w:tcPr>
            <w:tcW w:w="2088" w:type="dxa"/>
            <w:vMerge w:val="restart"/>
            <w:shd w:val="clear" w:color="auto" w:fill="auto"/>
          </w:tcPr>
          <w:p w14:paraId="03C4F665" w14:textId="77777777" w:rsidR="000865E6" w:rsidRDefault="000865E6" w:rsidP="000865E6">
            <w:pPr>
              <w:autoSpaceDE w:val="0"/>
              <w:autoSpaceDN w:val="0"/>
              <w:adjustRightInd w:val="0"/>
              <w:rPr>
                <w:rFonts w:cs="Arial"/>
                <w:iCs/>
                <w:sz w:val="20"/>
                <w:szCs w:val="20"/>
                <w:lang w:eastAsia="en-GB" w:bidi="ar-SA"/>
              </w:rPr>
            </w:pPr>
            <w:r>
              <w:rPr>
                <w:sz w:val="20"/>
                <w:szCs w:val="20"/>
              </w:rPr>
              <w:lastRenderedPageBreak/>
              <w:t>Problems associated with exclusive permissions</w:t>
            </w:r>
          </w:p>
          <w:p w14:paraId="3EF90564" w14:textId="77777777" w:rsidR="000865E6" w:rsidRPr="00056459" w:rsidRDefault="000865E6" w:rsidP="005554C7">
            <w:pPr>
              <w:rPr>
                <w:sz w:val="20"/>
                <w:szCs w:val="20"/>
              </w:rPr>
            </w:pPr>
          </w:p>
        </w:tc>
        <w:tc>
          <w:tcPr>
            <w:tcW w:w="1170" w:type="dxa"/>
            <w:tcBorders>
              <w:bottom w:val="single" w:sz="4" w:space="0" w:color="000000"/>
            </w:tcBorders>
            <w:shd w:val="clear" w:color="auto" w:fill="auto"/>
          </w:tcPr>
          <w:p w14:paraId="72509AE0" w14:textId="1ECE448F" w:rsidR="000865E6" w:rsidRPr="00056459" w:rsidRDefault="000865E6" w:rsidP="005554C7">
            <w:pPr>
              <w:rPr>
                <w:sz w:val="20"/>
                <w:szCs w:val="20"/>
              </w:rPr>
            </w:pPr>
            <w:r>
              <w:rPr>
                <w:sz w:val="20"/>
                <w:szCs w:val="20"/>
              </w:rPr>
              <w:t>ABC, AFGC, DN, Dairy, Nestlé</w:t>
            </w:r>
          </w:p>
        </w:tc>
        <w:tc>
          <w:tcPr>
            <w:tcW w:w="8370" w:type="dxa"/>
            <w:tcBorders>
              <w:bottom w:val="single" w:sz="4" w:space="0" w:color="000000"/>
            </w:tcBorders>
            <w:shd w:val="clear" w:color="auto" w:fill="auto"/>
          </w:tcPr>
          <w:p w14:paraId="6A28E42F" w14:textId="77777777" w:rsidR="000865E6" w:rsidRDefault="000865E6" w:rsidP="00020EF8">
            <w:pPr>
              <w:rPr>
                <w:rFonts w:cs="Arial"/>
                <w:sz w:val="20"/>
                <w:szCs w:val="20"/>
                <w:lang w:eastAsia="en-GB" w:bidi="ar-SA"/>
              </w:rPr>
            </w:pPr>
            <w:r w:rsidRPr="00335375">
              <w:rPr>
                <w:rFonts w:cs="Arial"/>
                <w:sz w:val="20"/>
                <w:szCs w:val="20"/>
                <w:lang w:eastAsia="en-GB" w:bidi="ar-SA"/>
              </w:rPr>
              <w:t>Current period of 15 months is not long enough to achieve a return on investment</w:t>
            </w:r>
            <w:r w:rsidRPr="0050799C">
              <w:rPr>
                <w:sz w:val="20"/>
                <w:szCs w:val="20"/>
              </w:rPr>
              <w:t xml:space="preserve"> </w:t>
            </w:r>
            <w:r>
              <w:rPr>
                <w:sz w:val="20"/>
                <w:szCs w:val="20"/>
              </w:rPr>
              <w:t xml:space="preserve">or </w:t>
            </w:r>
            <w:r w:rsidRPr="0050799C">
              <w:rPr>
                <w:sz w:val="20"/>
                <w:szCs w:val="20"/>
              </w:rPr>
              <w:t>for competitors to be locked out</w:t>
            </w:r>
            <w:r w:rsidRPr="00335375">
              <w:rPr>
                <w:rFonts w:cs="Arial"/>
                <w:sz w:val="20"/>
                <w:szCs w:val="20"/>
                <w:lang w:eastAsia="en-GB" w:bidi="ar-SA"/>
              </w:rPr>
              <w:t xml:space="preserve">. </w:t>
            </w:r>
          </w:p>
          <w:p w14:paraId="3DC6CECB" w14:textId="77777777" w:rsidR="000865E6" w:rsidRPr="009D0C23" w:rsidRDefault="000865E6" w:rsidP="00020EF8">
            <w:pPr>
              <w:pStyle w:val="FSBullet1"/>
              <w:numPr>
                <w:ilvl w:val="0"/>
                <w:numId w:val="11"/>
              </w:numPr>
              <w:ind w:left="567" w:hanging="567"/>
              <w:rPr>
                <w:sz w:val="20"/>
                <w:lang w:eastAsia="en-GB"/>
              </w:rPr>
            </w:pPr>
            <w:r w:rsidRPr="009D0C23">
              <w:rPr>
                <w:sz w:val="20"/>
                <w:lang w:eastAsia="en-GB"/>
              </w:rPr>
              <w:t>Product development may only be finalised after novel food approval that can take up to 12 months (Nestlé). If the provision is to be retained, then the period of exclusivity must be extended to 3 years on the grounds of additional time for completing product development post-approval by FSANZ and time for new product launch (ABC, AFGC, Nestlé).</w:t>
            </w:r>
          </w:p>
          <w:p w14:paraId="0EF814EB" w14:textId="77777777" w:rsidR="000865E6" w:rsidRPr="009D0C23" w:rsidRDefault="000865E6" w:rsidP="00020EF8">
            <w:pPr>
              <w:pStyle w:val="FSBullet1"/>
              <w:numPr>
                <w:ilvl w:val="0"/>
                <w:numId w:val="11"/>
              </w:numPr>
              <w:ind w:left="567" w:hanging="567"/>
              <w:rPr>
                <w:sz w:val="20"/>
                <w:lang w:eastAsia="en-GB"/>
              </w:rPr>
            </w:pPr>
            <w:r w:rsidRPr="009D0C23">
              <w:rPr>
                <w:sz w:val="20"/>
                <w:lang w:eastAsia="en-GB"/>
              </w:rPr>
              <w:t>Provided cost information indicating inadequacy of a 15month period (Dairy)</w:t>
            </w:r>
          </w:p>
          <w:p w14:paraId="19528381"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0D8BB692" w14:textId="5E4746AC" w:rsidR="000865E6" w:rsidRDefault="000865E6" w:rsidP="00303B5E">
            <w:pPr>
              <w:widowControl/>
              <w:autoSpaceDE w:val="0"/>
              <w:autoSpaceDN w:val="0"/>
              <w:adjustRightInd w:val="0"/>
              <w:rPr>
                <w:rFonts w:cs="Arial"/>
                <w:color w:val="000000"/>
                <w:sz w:val="20"/>
                <w:szCs w:val="20"/>
                <w:lang w:val="en-AU" w:eastAsia="en-GB" w:bidi="ar-SA"/>
              </w:rPr>
            </w:pPr>
            <w:r>
              <w:rPr>
                <w:rFonts w:cs="Arial"/>
                <w:sz w:val="20"/>
                <w:szCs w:val="20"/>
                <w:lang w:eastAsia="en-GB" w:bidi="ar-SA"/>
              </w:rPr>
              <w:t>Noted and further input sought on this issue, as detailed above.</w:t>
            </w:r>
          </w:p>
        </w:tc>
      </w:tr>
      <w:tr w:rsidR="000865E6" w:rsidRPr="00056459" w14:paraId="573580A4" w14:textId="77777777" w:rsidTr="00231BCA">
        <w:tc>
          <w:tcPr>
            <w:tcW w:w="2088" w:type="dxa"/>
            <w:vMerge/>
            <w:shd w:val="clear" w:color="auto" w:fill="auto"/>
          </w:tcPr>
          <w:p w14:paraId="173FF7A0" w14:textId="77777777" w:rsidR="000865E6" w:rsidRPr="00056459" w:rsidRDefault="000865E6" w:rsidP="005554C7">
            <w:pPr>
              <w:rPr>
                <w:sz w:val="20"/>
                <w:szCs w:val="20"/>
              </w:rPr>
            </w:pPr>
          </w:p>
        </w:tc>
        <w:tc>
          <w:tcPr>
            <w:tcW w:w="1170" w:type="dxa"/>
            <w:tcBorders>
              <w:bottom w:val="single" w:sz="4" w:space="0" w:color="000000"/>
            </w:tcBorders>
            <w:shd w:val="clear" w:color="auto" w:fill="auto"/>
          </w:tcPr>
          <w:p w14:paraId="0C0B7EB6" w14:textId="7DBF3953" w:rsidR="000865E6" w:rsidRPr="00056459" w:rsidRDefault="000865E6" w:rsidP="005554C7">
            <w:pPr>
              <w:rPr>
                <w:sz w:val="20"/>
                <w:szCs w:val="20"/>
              </w:rPr>
            </w:pPr>
            <w:r>
              <w:rPr>
                <w:sz w:val="20"/>
                <w:szCs w:val="20"/>
              </w:rPr>
              <w:t>Aspen</w:t>
            </w:r>
          </w:p>
        </w:tc>
        <w:tc>
          <w:tcPr>
            <w:tcW w:w="8370" w:type="dxa"/>
            <w:tcBorders>
              <w:bottom w:val="single" w:sz="4" w:space="0" w:color="000000"/>
            </w:tcBorders>
            <w:shd w:val="clear" w:color="auto" w:fill="auto"/>
          </w:tcPr>
          <w:p w14:paraId="2C072270" w14:textId="77777777" w:rsidR="000865E6" w:rsidRDefault="000865E6" w:rsidP="00020EF8">
            <w:pPr>
              <w:rPr>
                <w:sz w:val="20"/>
                <w:szCs w:val="20"/>
              </w:rPr>
            </w:pPr>
            <w:r w:rsidRPr="00F20C2E">
              <w:rPr>
                <w:sz w:val="20"/>
                <w:szCs w:val="20"/>
              </w:rPr>
              <w:t xml:space="preserve">If exclusivity is permitted, </w:t>
            </w:r>
            <w:r>
              <w:rPr>
                <w:sz w:val="20"/>
                <w:szCs w:val="20"/>
              </w:rPr>
              <w:t xml:space="preserve">then </w:t>
            </w:r>
            <w:r w:rsidRPr="00F20C2E">
              <w:rPr>
                <w:sz w:val="20"/>
                <w:szCs w:val="20"/>
              </w:rPr>
              <w:t>data protection should not be granted</w:t>
            </w:r>
            <w:r>
              <w:rPr>
                <w:sz w:val="20"/>
                <w:szCs w:val="20"/>
              </w:rPr>
              <w:t xml:space="preserve"> because having both provisions would not allow other companies to evaluate whether the authorised product is the same as one they are interested in</w:t>
            </w:r>
            <w:r w:rsidRPr="00F20C2E">
              <w:rPr>
                <w:sz w:val="20"/>
                <w:szCs w:val="20"/>
              </w:rPr>
              <w:t>.</w:t>
            </w:r>
          </w:p>
          <w:p w14:paraId="28C0E1B4" w14:textId="77777777" w:rsidR="000865E6" w:rsidRDefault="000865E6" w:rsidP="00020EF8">
            <w:pPr>
              <w:rPr>
                <w:sz w:val="20"/>
                <w:szCs w:val="20"/>
              </w:rPr>
            </w:pPr>
          </w:p>
          <w:p w14:paraId="3008B2F8" w14:textId="0A9F8704" w:rsidR="000865E6" w:rsidRPr="00056459" w:rsidRDefault="000865E6" w:rsidP="005554C7">
            <w:pPr>
              <w:widowControl/>
              <w:autoSpaceDE w:val="0"/>
              <w:autoSpaceDN w:val="0"/>
              <w:adjustRightInd w:val="0"/>
              <w:rPr>
                <w:rFonts w:cs="Arial"/>
                <w:color w:val="000000"/>
                <w:sz w:val="20"/>
                <w:szCs w:val="20"/>
                <w:lang w:val="en-AU" w:eastAsia="en-GB" w:bidi="ar-SA"/>
              </w:rPr>
            </w:pPr>
            <w:r w:rsidRPr="00F20C2E">
              <w:rPr>
                <w:sz w:val="20"/>
                <w:szCs w:val="20"/>
              </w:rPr>
              <w:t>Further, if exclusivity is permitted, generic authorisations should be granted over individual authorisations so when the exclusive period is over, it becomes a permissible ingredient for the industry. This will minimise regulatory burden on industry as well as on FSANZ.</w:t>
            </w:r>
            <w:r>
              <w:rPr>
                <w:sz w:val="20"/>
                <w:szCs w:val="20"/>
              </w:rPr>
              <w:t xml:space="preserve"> (FSANZ notes that this is the status quo in regards to the application of exclusive marketing provisions in the Code).</w:t>
            </w:r>
          </w:p>
        </w:tc>
        <w:tc>
          <w:tcPr>
            <w:tcW w:w="2874" w:type="dxa"/>
            <w:tcBorders>
              <w:bottom w:val="single" w:sz="4" w:space="0" w:color="000000"/>
            </w:tcBorders>
          </w:tcPr>
          <w:p w14:paraId="36F12699" w14:textId="636E513E" w:rsidR="000865E6" w:rsidRDefault="00337C28" w:rsidP="000865E6">
            <w:pPr>
              <w:rPr>
                <w:sz w:val="20"/>
                <w:szCs w:val="20"/>
              </w:rPr>
            </w:pPr>
            <w:r>
              <w:rPr>
                <w:sz w:val="20"/>
                <w:szCs w:val="20"/>
              </w:rPr>
              <w:t>Noted. The issue of data protection is discussed in the Consultation Paper at section 3.1.3</w:t>
            </w:r>
            <w:r w:rsidR="000865E6">
              <w:rPr>
                <w:sz w:val="20"/>
                <w:szCs w:val="20"/>
              </w:rPr>
              <w:t xml:space="preserve">. </w:t>
            </w:r>
          </w:p>
          <w:p w14:paraId="5C627B92" w14:textId="77777777" w:rsidR="000865E6" w:rsidRDefault="000865E6" w:rsidP="000865E6">
            <w:pPr>
              <w:rPr>
                <w:sz w:val="20"/>
                <w:szCs w:val="20"/>
              </w:rPr>
            </w:pPr>
          </w:p>
          <w:p w14:paraId="6ECDF565" w14:textId="77777777" w:rsidR="000865E6" w:rsidRDefault="000865E6" w:rsidP="000865E6">
            <w:pPr>
              <w:widowControl/>
              <w:autoSpaceDE w:val="0"/>
              <w:autoSpaceDN w:val="0"/>
              <w:adjustRightInd w:val="0"/>
              <w:rPr>
                <w:sz w:val="20"/>
                <w:szCs w:val="20"/>
              </w:rPr>
            </w:pPr>
            <w:r>
              <w:rPr>
                <w:sz w:val="20"/>
                <w:szCs w:val="20"/>
              </w:rPr>
              <w:t>FSANZ notes that currently exclusive permissions revert to a generic permission for the food after the period of exclusive permission expires.</w:t>
            </w:r>
          </w:p>
          <w:p w14:paraId="58C6A1AE" w14:textId="492B6E86" w:rsidR="002334A9" w:rsidRDefault="002334A9" w:rsidP="000865E6">
            <w:pPr>
              <w:widowControl/>
              <w:autoSpaceDE w:val="0"/>
              <w:autoSpaceDN w:val="0"/>
              <w:adjustRightInd w:val="0"/>
              <w:rPr>
                <w:rFonts w:cs="Arial"/>
                <w:color w:val="000000"/>
                <w:sz w:val="20"/>
                <w:szCs w:val="20"/>
                <w:lang w:val="en-AU" w:eastAsia="en-GB" w:bidi="ar-SA"/>
              </w:rPr>
            </w:pPr>
          </w:p>
        </w:tc>
      </w:tr>
      <w:tr w:rsidR="000865E6" w:rsidRPr="00056459" w14:paraId="6D4C0326" w14:textId="77777777" w:rsidTr="00231BCA">
        <w:tc>
          <w:tcPr>
            <w:tcW w:w="2088" w:type="dxa"/>
            <w:shd w:val="clear" w:color="auto" w:fill="auto"/>
          </w:tcPr>
          <w:p w14:paraId="7D46E703" w14:textId="7B40F92B" w:rsidR="000865E6" w:rsidRPr="00056459" w:rsidRDefault="000865E6" w:rsidP="005554C7">
            <w:pPr>
              <w:rPr>
                <w:sz w:val="20"/>
                <w:szCs w:val="20"/>
              </w:rPr>
            </w:pPr>
            <w:r>
              <w:rPr>
                <w:rFonts w:cs="Arial"/>
                <w:iCs/>
                <w:sz w:val="20"/>
                <w:szCs w:val="20"/>
                <w:lang w:eastAsia="en-GB" w:bidi="ar-SA"/>
              </w:rPr>
              <w:t>Opposes exclusivity</w:t>
            </w:r>
          </w:p>
        </w:tc>
        <w:tc>
          <w:tcPr>
            <w:tcW w:w="1170" w:type="dxa"/>
            <w:tcBorders>
              <w:bottom w:val="single" w:sz="4" w:space="0" w:color="000000"/>
            </w:tcBorders>
            <w:shd w:val="clear" w:color="auto" w:fill="auto"/>
          </w:tcPr>
          <w:p w14:paraId="2419638A" w14:textId="06A3E0D5" w:rsidR="000865E6" w:rsidRPr="00056459" w:rsidRDefault="000865E6" w:rsidP="005554C7">
            <w:pPr>
              <w:rPr>
                <w:sz w:val="20"/>
                <w:szCs w:val="20"/>
              </w:rPr>
            </w:pPr>
            <w:r>
              <w:rPr>
                <w:sz w:val="20"/>
                <w:szCs w:val="20"/>
              </w:rPr>
              <w:t>FoE</w:t>
            </w:r>
          </w:p>
        </w:tc>
        <w:tc>
          <w:tcPr>
            <w:tcW w:w="8370" w:type="dxa"/>
            <w:tcBorders>
              <w:bottom w:val="single" w:sz="4" w:space="0" w:color="000000"/>
            </w:tcBorders>
            <w:shd w:val="clear" w:color="auto" w:fill="auto"/>
          </w:tcPr>
          <w:p w14:paraId="7D0C6BF0" w14:textId="57F508BE" w:rsidR="000865E6" w:rsidRPr="00056459" w:rsidRDefault="000865E6" w:rsidP="005554C7">
            <w:pPr>
              <w:widowControl/>
              <w:autoSpaceDE w:val="0"/>
              <w:autoSpaceDN w:val="0"/>
              <w:adjustRightInd w:val="0"/>
              <w:rPr>
                <w:rFonts w:cs="Arial"/>
                <w:color w:val="000000"/>
                <w:sz w:val="20"/>
                <w:szCs w:val="20"/>
                <w:lang w:val="en-AU" w:eastAsia="en-GB" w:bidi="ar-SA"/>
              </w:rPr>
            </w:pPr>
            <w:r>
              <w:rPr>
                <w:sz w:val="20"/>
                <w:szCs w:val="20"/>
              </w:rPr>
              <w:t xml:space="preserve">Considers this to be a </w:t>
            </w:r>
            <w:r w:rsidRPr="00645D2E">
              <w:rPr>
                <w:sz w:val="20"/>
                <w:szCs w:val="20"/>
              </w:rPr>
              <w:t>form of extra-legal intellectual property not part of any current IP system. An ‘innovative’ combination of ingredients would not and should not be subject to this form of commercial exclusivity and nor should other ‘innovations’ unless they can satisfy existing IP requirements.</w:t>
            </w:r>
          </w:p>
        </w:tc>
        <w:tc>
          <w:tcPr>
            <w:tcW w:w="2874" w:type="dxa"/>
            <w:tcBorders>
              <w:bottom w:val="single" w:sz="4" w:space="0" w:color="000000"/>
            </w:tcBorders>
          </w:tcPr>
          <w:p w14:paraId="6095C8FA" w14:textId="63D0AE42" w:rsidR="002334A9" w:rsidRDefault="000865E6" w:rsidP="00FE5B17">
            <w:pPr>
              <w:widowControl/>
              <w:autoSpaceDE w:val="0"/>
              <w:autoSpaceDN w:val="0"/>
              <w:adjustRightInd w:val="0"/>
              <w:rPr>
                <w:rFonts w:cs="Arial"/>
                <w:color w:val="000000"/>
                <w:sz w:val="20"/>
                <w:szCs w:val="20"/>
                <w:lang w:val="en-AU" w:eastAsia="en-GB" w:bidi="ar-SA"/>
              </w:rPr>
            </w:pPr>
            <w:r>
              <w:rPr>
                <w:sz w:val="20"/>
                <w:szCs w:val="20"/>
              </w:rPr>
              <w:t xml:space="preserve">Noted. </w:t>
            </w:r>
            <w:r w:rsidR="00337C28">
              <w:rPr>
                <w:sz w:val="20"/>
                <w:szCs w:val="20"/>
              </w:rPr>
              <w:t>FSANZ is seeking further input in relation to exclusive permissions. See section 3.1 of the Consultation Paper</w:t>
            </w:r>
            <w:r w:rsidR="00231BCA">
              <w:rPr>
                <w:sz w:val="20"/>
                <w:szCs w:val="20"/>
              </w:rPr>
              <w:t>.</w:t>
            </w:r>
          </w:p>
        </w:tc>
      </w:tr>
      <w:tr w:rsidR="000865E6" w:rsidRPr="00056459" w14:paraId="5DD2A555" w14:textId="77777777" w:rsidTr="00231BCA">
        <w:tc>
          <w:tcPr>
            <w:tcW w:w="14502" w:type="dxa"/>
            <w:gridSpan w:val="4"/>
            <w:shd w:val="clear" w:color="auto" w:fill="EAF1DD" w:themeFill="accent3" w:themeFillTint="33"/>
          </w:tcPr>
          <w:p w14:paraId="7478EABF" w14:textId="6D97945F" w:rsidR="000865E6" w:rsidRDefault="000865E6" w:rsidP="00303B5E">
            <w:pPr>
              <w:widowControl/>
              <w:autoSpaceDE w:val="0"/>
              <w:autoSpaceDN w:val="0"/>
              <w:adjustRightInd w:val="0"/>
              <w:rPr>
                <w:rFonts w:cs="Arial"/>
                <w:color w:val="000000"/>
                <w:sz w:val="20"/>
                <w:szCs w:val="20"/>
                <w:lang w:val="en-AU" w:eastAsia="en-GB" w:bidi="ar-SA"/>
              </w:rPr>
            </w:pPr>
            <w:r>
              <w:rPr>
                <w:rFonts w:cs="Arial"/>
                <w:b/>
                <w:iCs/>
                <w:sz w:val="20"/>
                <w:szCs w:val="20"/>
                <w:lang w:eastAsia="en-GB" w:bidi="ar-SA"/>
              </w:rPr>
              <w:lastRenderedPageBreak/>
              <w:t>CFS Question:</w:t>
            </w:r>
            <w:r w:rsidRPr="00261CC2">
              <w:rPr>
                <w:rFonts w:cs="Arial"/>
                <w:b/>
                <w:iCs/>
                <w:sz w:val="20"/>
                <w:szCs w:val="20"/>
                <w:lang w:eastAsia="en-GB" w:bidi="ar-SA"/>
              </w:rPr>
              <w:t xml:space="preserve"> </w:t>
            </w:r>
            <w:r w:rsidRPr="001D0575">
              <w:rPr>
                <w:rFonts w:cs="Arial"/>
                <w:b/>
                <w:iCs/>
                <w:sz w:val="20"/>
                <w:szCs w:val="20"/>
                <w:lang w:eastAsia="en-GB" w:bidi="ar-SA"/>
              </w:rPr>
              <w:t>Can you identify any issues that may arise if exclusive permissions are available for FSANZ approved foods, but not available for industry self-assessed foods? Would the self-assessment process for non-eligible foods provide a trade-off against the lack of an exclusive permission for self-assessed foods?</w:t>
            </w:r>
          </w:p>
        </w:tc>
      </w:tr>
      <w:tr w:rsidR="000865E6" w:rsidRPr="00056459" w14:paraId="6C3D092D" w14:textId="77777777" w:rsidTr="00231BCA">
        <w:tc>
          <w:tcPr>
            <w:tcW w:w="2088" w:type="dxa"/>
            <w:shd w:val="clear" w:color="auto" w:fill="auto"/>
          </w:tcPr>
          <w:p w14:paraId="3E425A7D" w14:textId="65C75F15" w:rsidR="000865E6" w:rsidRPr="00056459" w:rsidRDefault="000865E6" w:rsidP="005554C7">
            <w:pPr>
              <w:rPr>
                <w:sz w:val="20"/>
                <w:szCs w:val="20"/>
              </w:rPr>
            </w:pPr>
            <w:r>
              <w:rPr>
                <w:rFonts w:cs="Arial"/>
                <w:sz w:val="20"/>
                <w:szCs w:val="20"/>
              </w:rPr>
              <w:t>Self-assessed foods should have the same level of exclusivity as applications</w:t>
            </w:r>
          </w:p>
        </w:tc>
        <w:tc>
          <w:tcPr>
            <w:tcW w:w="1170" w:type="dxa"/>
            <w:tcBorders>
              <w:bottom w:val="single" w:sz="4" w:space="0" w:color="000000"/>
            </w:tcBorders>
            <w:shd w:val="clear" w:color="auto" w:fill="auto"/>
          </w:tcPr>
          <w:p w14:paraId="12964AB3" w14:textId="2C97A6F6" w:rsidR="000865E6" w:rsidRPr="00056459" w:rsidRDefault="000865E6" w:rsidP="005554C7">
            <w:pPr>
              <w:rPr>
                <w:sz w:val="20"/>
                <w:szCs w:val="20"/>
              </w:rPr>
            </w:pPr>
            <w:r>
              <w:rPr>
                <w:sz w:val="20"/>
                <w:szCs w:val="20"/>
              </w:rPr>
              <w:t>Aspen, INC, NZMPI</w:t>
            </w:r>
          </w:p>
        </w:tc>
        <w:tc>
          <w:tcPr>
            <w:tcW w:w="8370" w:type="dxa"/>
            <w:tcBorders>
              <w:bottom w:val="single" w:sz="4" w:space="0" w:color="000000"/>
            </w:tcBorders>
            <w:shd w:val="clear" w:color="auto" w:fill="auto"/>
          </w:tcPr>
          <w:p w14:paraId="50ECE848" w14:textId="26128DDC" w:rsidR="000865E6" w:rsidRDefault="000865E6" w:rsidP="00020EF8">
            <w:pPr>
              <w:rPr>
                <w:sz w:val="20"/>
                <w:szCs w:val="20"/>
              </w:rPr>
            </w:pPr>
            <w:r>
              <w:rPr>
                <w:sz w:val="20"/>
                <w:szCs w:val="20"/>
              </w:rPr>
              <w:t>E</w:t>
            </w:r>
            <w:r w:rsidRPr="006E3D42">
              <w:rPr>
                <w:sz w:val="20"/>
                <w:szCs w:val="20"/>
              </w:rPr>
              <w:t xml:space="preserve">xclusive permission should be given to businesses conducting a self-assessment in the same way as businesses that are required to apply to FSANZ for a safety assessment, as considerable resources </w:t>
            </w:r>
            <w:r>
              <w:rPr>
                <w:sz w:val="20"/>
                <w:szCs w:val="20"/>
              </w:rPr>
              <w:t xml:space="preserve">time and funds have been </w:t>
            </w:r>
            <w:r w:rsidRPr="006E3D42">
              <w:rPr>
                <w:sz w:val="20"/>
                <w:szCs w:val="20"/>
              </w:rPr>
              <w:t xml:space="preserve">invested in both scenarios. </w:t>
            </w:r>
          </w:p>
          <w:p w14:paraId="30D8EA9E" w14:textId="77777777" w:rsidR="00FE5B17" w:rsidRDefault="00FE5B17" w:rsidP="00020EF8">
            <w:pPr>
              <w:rPr>
                <w:sz w:val="20"/>
                <w:szCs w:val="20"/>
              </w:rPr>
            </w:pPr>
          </w:p>
          <w:p w14:paraId="2B9805D9" w14:textId="77777777" w:rsidR="000865E6" w:rsidRPr="009D0C23" w:rsidRDefault="000865E6" w:rsidP="00FE5B17">
            <w:pPr>
              <w:pStyle w:val="FSBullet1"/>
              <w:numPr>
                <w:ilvl w:val="0"/>
                <w:numId w:val="11"/>
              </w:numPr>
              <w:ind w:left="284" w:hanging="284"/>
              <w:rPr>
                <w:sz w:val="20"/>
              </w:rPr>
            </w:pPr>
            <w:r w:rsidRPr="009D0C23">
              <w:rPr>
                <w:sz w:val="20"/>
              </w:rPr>
              <w:t>NZMPI supports industry having the option of submitting an application to FSANZ so that they can choose to use the application process for the benefit of the exclusive use permission.</w:t>
            </w:r>
          </w:p>
          <w:p w14:paraId="3609ED47" w14:textId="77777777" w:rsidR="00FE5B17" w:rsidRDefault="00FE5B17" w:rsidP="005554C7">
            <w:pPr>
              <w:widowControl/>
              <w:autoSpaceDE w:val="0"/>
              <w:autoSpaceDN w:val="0"/>
              <w:adjustRightInd w:val="0"/>
              <w:rPr>
                <w:sz w:val="20"/>
              </w:rPr>
            </w:pPr>
          </w:p>
          <w:p w14:paraId="2C838AA6" w14:textId="6210B558" w:rsidR="000865E6" w:rsidRDefault="000865E6" w:rsidP="005554C7">
            <w:pPr>
              <w:widowControl/>
              <w:autoSpaceDE w:val="0"/>
              <w:autoSpaceDN w:val="0"/>
              <w:adjustRightInd w:val="0"/>
              <w:rPr>
                <w:sz w:val="20"/>
              </w:rPr>
            </w:pPr>
            <w:r w:rsidRPr="009D0C23">
              <w:rPr>
                <w:sz w:val="20"/>
              </w:rPr>
              <w:t>All companies that have invested resources to a new food should not be prevented from also applying for pre-market assessment with the accompanying data and dossiers (Aspen, INC).</w:t>
            </w:r>
          </w:p>
          <w:p w14:paraId="2ABC6DF9" w14:textId="02251AB2" w:rsidR="002334A9" w:rsidRPr="00056459" w:rsidRDefault="002334A9"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19D3C519" w14:textId="4ACCE1C0" w:rsidR="000865E6" w:rsidRDefault="000865E6" w:rsidP="00303B5E">
            <w:pPr>
              <w:widowControl/>
              <w:autoSpaceDE w:val="0"/>
              <w:autoSpaceDN w:val="0"/>
              <w:adjustRightInd w:val="0"/>
              <w:rPr>
                <w:rFonts w:cs="Arial"/>
                <w:color w:val="000000"/>
                <w:sz w:val="20"/>
                <w:szCs w:val="20"/>
                <w:lang w:val="en-AU" w:eastAsia="en-GB" w:bidi="ar-SA"/>
              </w:rPr>
            </w:pPr>
            <w:r>
              <w:rPr>
                <w:sz w:val="20"/>
                <w:szCs w:val="20"/>
              </w:rPr>
              <w:t xml:space="preserve">Noted. </w:t>
            </w:r>
            <w:r w:rsidR="00337C28">
              <w:rPr>
                <w:sz w:val="20"/>
                <w:szCs w:val="20"/>
              </w:rPr>
              <w:t>For the reasons outlined in the Consultation Paper, the self-assessment notification pathway has been removed from the modified framework</w:t>
            </w:r>
            <w:r w:rsidR="00337C28" w:rsidDel="00D61C57">
              <w:rPr>
                <w:rFonts w:eastAsiaTheme="minorHAnsi" w:cs="Arial"/>
                <w:sz w:val="20"/>
                <w:szCs w:val="20"/>
                <w:lang w:eastAsia="en-GB" w:bidi="ar-SA"/>
              </w:rPr>
              <w:t xml:space="preserve"> </w:t>
            </w:r>
            <w:r w:rsidR="00337C28">
              <w:rPr>
                <w:rFonts w:eastAsiaTheme="minorHAnsi" w:cs="Arial"/>
                <w:sz w:val="20"/>
                <w:szCs w:val="20"/>
                <w:lang w:eastAsia="en-GB" w:bidi="ar-SA"/>
              </w:rPr>
              <w:t>(section 2.2 of the consultation paper)</w:t>
            </w:r>
            <w:r>
              <w:rPr>
                <w:sz w:val="20"/>
                <w:szCs w:val="20"/>
              </w:rPr>
              <w:t xml:space="preserve">. </w:t>
            </w:r>
          </w:p>
        </w:tc>
      </w:tr>
      <w:tr w:rsidR="000865E6" w:rsidRPr="00056459" w14:paraId="32F44E3C" w14:textId="77777777" w:rsidTr="00231BCA">
        <w:tc>
          <w:tcPr>
            <w:tcW w:w="2088" w:type="dxa"/>
            <w:shd w:val="clear" w:color="auto" w:fill="auto"/>
          </w:tcPr>
          <w:p w14:paraId="422F9878" w14:textId="49892589" w:rsidR="000865E6" w:rsidRPr="00056459" w:rsidRDefault="000865E6" w:rsidP="005554C7">
            <w:pPr>
              <w:rPr>
                <w:sz w:val="20"/>
                <w:szCs w:val="20"/>
              </w:rPr>
            </w:pPr>
            <w:r>
              <w:rPr>
                <w:rFonts w:cs="Arial"/>
                <w:iCs/>
                <w:sz w:val="20"/>
                <w:szCs w:val="20"/>
                <w:lang w:eastAsia="en-GB" w:bidi="ar-SA"/>
              </w:rPr>
              <w:t>The self-assessment process is only a suitable trade off if there is no public notification</w:t>
            </w:r>
          </w:p>
        </w:tc>
        <w:tc>
          <w:tcPr>
            <w:tcW w:w="1170" w:type="dxa"/>
            <w:tcBorders>
              <w:bottom w:val="single" w:sz="4" w:space="0" w:color="000000"/>
            </w:tcBorders>
            <w:shd w:val="clear" w:color="auto" w:fill="auto"/>
          </w:tcPr>
          <w:p w14:paraId="36F9045E" w14:textId="2D71E830" w:rsidR="000865E6" w:rsidRPr="00056459" w:rsidRDefault="000865E6" w:rsidP="005554C7">
            <w:pPr>
              <w:rPr>
                <w:sz w:val="20"/>
                <w:szCs w:val="20"/>
              </w:rPr>
            </w:pPr>
            <w:r>
              <w:rPr>
                <w:sz w:val="20"/>
                <w:szCs w:val="20"/>
              </w:rPr>
              <w:t>AFGC, DN, Frucor, INC, Nestlé, NZFGC</w:t>
            </w:r>
          </w:p>
        </w:tc>
        <w:tc>
          <w:tcPr>
            <w:tcW w:w="8370" w:type="dxa"/>
            <w:tcBorders>
              <w:bottom w:val="single" w:sz="4" w:space="0" w:color="000000"/>
            </w:tcBorders>
            <w:shd w:val="clear" w:color="auto" w:fill="auto"/>
          </w:tcPr>
          <w:p w14:paraId="05E5571A" w14:textId="526DADE3" w:rsidR="000865E6" w:rsidRDefault="000865E6" w:rsidP="00020EF8">
            <w:pPr>
              <w:widowControl/>
              <w:autoSpaceDE w:val="0"/>
              <w:autoSpaceDN w:val="0"/>
              <w:adjustRightInd w:val="0"/>
              <w:rPr>
                <w:rFonts w:cs="Arial"/>
                <w:sz w:val="20"/>
                <w:szCs w:val="20"/>
                <w:lang w:eastAsia="en-GB" w:bidi="ar-SA"/>
              </w:rPr>
            </w:pPr>
            <w:r w:rsidRPr="0050799C">
              <w:rPr>
                <w:rFonts w:cs="Arial"/>
                <w:sz w:val="20"/>
                <w:szCs w:val="20"/>
                <w:lang w:eastAsia="en-GB" w:bidi="ar-SA"/>
              </w:rPr>
              <w:t>If documentation and data sets for the Pre-Market Assessment by Notification Pathway are not public, then notification delivers some level of exclusivity and has the advantage of speed to market.</w:t>
            </w:r>
          </w:p>
          <w:p w14:paraId="54B4B49B" w14:textId="77777777" w:rsidR="00FE5B17" w:rsidRPr="0050799C" w:rsidRDefault="00FE5B17" w:rsidP="00020EF8">
            <w:pPr>
              <w:widowControl/>
              <w:autoSpaceDE w:val="0"/>
              <w:autoSpaceDN w:val="0"/>
              <w:adjustRightInd w:val="0"/>
              <w:rPr>
                <w:rFonts w:cs="Arial"/>
                <w:sz w:val="20"/>
                <w:szCs w:val="20"/>
                <w:lang w:eastAsia="en-GB" w:bidi="ar-SA"/>
              </w:rPr>
            </w:pPr>
          </w:p>
          <w:p w14:paraId="4A4B35DE" w14:textId="77777777" w:rsidR="000865E6" w:rsidRPr="009D0C23" w:rsidRDefault="000865E6" w:rsidP="00FE5B17">
            <w:pPr>
              <w:pStyle w:val="FSBullet1"/>
              <w:numPr>
                <w:ilvl w:val="0"/>
                <w:numId w:val="11"/>
              </w:numPr>
              <w:ind w:left="284" w:hanging="284"/>
              <w:rPr>
                <w:sz w:val="20"/>
              </w:rPr>
            </w:pPr>
            <w:r w:rsidRPr="009D0C23">
              <w:rPr>
                <w:sz w:val="20"/>
              </w:rPr>
              <w:t>There is however an issue of unintended consequence of this type of informal exclusivity, particularly with industry self-assessment, where a competitor could be ‘blocked’ by preparing a notification (or making an application for approval) when no intent/capacity to use the substance exists (NZFGC).</w:t>
            </w:r>
          </w:p>
          <w:p w14:paraId="425E730B" w14:textId="77777777" w:rsidR="000865E6" w:rsidRPr="009D0C23" w:rsidRDefault="000865E6" w:rsidP="00FE5B17">
            <w:pPr>
              <w:pStyle w:val="FSBullet1"/>
              <w:numPr>
                <w:ilvl w:val="0"/>
                <w:numId w:val="11"/>
              </w:numPr>
              <w:ind w:left="284" w:hanging="284"/>
              <w:rPr>
                <w:sz w:val="20"/>
              </w:rPr>
            </w:pPr>
            <w:r w:rsidRPr="009D0C23">
              <w:rPr>
                <w:sz w:val="20"/>
              </w:rPr>
              <w:t>INC presumes that exclusivity would not preclude applications by other parties for substances that are similar but not identical or applications for identical substances that reflect different documentation and data for delivery.</w:t>
            </w:r>
          </w:p>
          <w:p w14:paraId="3C704E54" w14:textId="77777777" w:rsidR="000865E6" w:rsidRPr="009D0C23" w:rsidRDefault="000865E6" w:rsidP="00FE5B17">
            <w:pPr>
              <w:pStyle w:val="FSBullet1"/>
              <w:numPr>
                <w:ilvl w:val="0"/>
                <w:numId w:val="11"/>
              </w:numPr>
              <w:ind w:left="284" w:hanging="284"/>
              <w:rPr>
                <w:sz w:val="20"/>
              </w:rPr>
            </w:pPr>
            <w:r w:rsidRPr="009D0C23">
              <w:rPr>
                <w:sz w:val="20"/>
              </w:rPr>
              <w:t>Nestlé stated that if there is a disclosure of the innovators intellectual property, then the first to market advantage and managed launch timing is not a sufficient trade-off for the lack of exclusivity (Nestlé).</w:t>
            </w:r>
          </w:p>
          <w:p w14:paraId="0A295CA6"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6FD3FF41" w14:textId="3B79C47B" w:rsidR="000865E6" w:rsidRDefault="000865E6" w:rsidP="00303B5E">
            <w:pPr>
              <w:widowControl/>
              <w:autoSpaceDE w:val="0"/>
              <w:autoSpaceDN w:val="0"/>
              <w:adjustRightInd w:val="0"/>
              <w:rPr>
                <w:rFonts w:cs="Arial"/>
                <w:color w:val="000000"/>
                <w:sz w:val="20"/>
                <w:szCs w:val="20"/>
                <w:lang w:val="en-AU" w:eastAsia="en-GB" w:bidi="ar-SA"/>
              </w:rPr>
            </w:pPr>
            <w:r>
              <w:rPr>
                <w:rFonts w:cs="Arial"/>
                <w:sz w:val="20"/>
                <w:szCs w:val="20"/>
                <w:lang w:eastAsia="en-GB" w:bidi="ar-SA"/>
              </w:rPr>
              <w:t>As above.</w:t>
            </w:r>
          </w:p>
        </w:tc>
      </w:tr>
      <w:tr w:rsidR="000865E6" w:rsidRPr="00056459" w14:paraId="5317829F" w14:textId="77777777" w:rsidTr="00231BCA">
        <w:tc>
          <w:tcPr>
            <w:tcW w:w="2088" w:type="dxa"/>
            <w:shd w:val="clear" w:color="auto" w:fill="auto"/>
          </w:tcPr>
          <w:p w14:paraId="43511911" w14:textId="497385F7" w:rsidR="000865E6" w:rsidRPr="00056459" w:rsidRDefault="000865E6" w:rsidP="00FE5B17">
            <w:pPr>
              <w:pageBreakBefore/>
              <w:rPr>
                <w:sz w:val="20"/>
                <w:szCs w:val="20"/>
              </w:rPr>
            </w:pPr>
            <w:r>
              <w:rPr>
                <w:rFonts w:cs="Arial"/>
                <w:iCs/>
                <w:sz w:val="20"/>
                <w:szCs w:val="20"/>
                <w:lang w:eastAsia="en-GB" w:bidi="ar-SA"/>
              </w:rPr>
              <w:lastRenderedPageBreak/>
              <w:t>Benefits exist only for large companies</w:t>
            </w:r>
          </w:p>
        </w:tc>
        <w:tc>
          <w:tcPr>
            <w:tcW w:w="1170" w:type="dxa"/>
            <w:tcBorders>
              <w:bottom w:val="single" w:sz="4" w:space="0" w:color="000000"/>
            </w:tcBorders>
            <w:shd w:val="clear" w:color="auto" w:fill="auto"/>
          </w:tcPr>
          <w:p w14:paraId="193B6942" w14:textId="6FE7220E" w:rsidR="000865E6" w:rsidRPr="00056459" w:rsidRDefault="000865E6" w:rsidP="005554C7">
            <w:pPr>
              <w:rPr>
                <w:sz w:val="20"/>
                <w:szCs w:val="20"/>
              </w:rPr>
            </w:pPr>
            <w:r>
              <w:rPr>
                <w:sz w:val="20"/>
                <w:szCs w:val="20"/>
              </w:rPr>
              <w:t>Aspen</w:t>
            </w:r>
          </w:p>
        </w:tc>
        <w:tc>
          <w:tcPr>
            <w:tcW w:w="8370" w:type="dxa"/>
            <w:tcBorders>
              <w:bottom w:val="single" w:sz="4" w:space="0" w:color="000000"/>
            </w:tcBorders>
            <w:shd w:val="clear" w:color="auto" w:fill="auto"/>
          </w:tcPr>
          <w:p w14:paraId="11125E50" w14:textId="77777777" w:rsidR="000865E6" w:rsidRDefault="000865E6" w:rsidP="00020EF8">
            <w:pPr>
              <w:widowControl/>
              <w:autoSpaceDE w:val="0"/>
              <w:autoSpaceDN w:val="0"/>
              <w:adjustRightInd w:val="0"/>
              <w:rPr>
                <w:rFonts w:cs="Arial"/>
                <w:color w:val="000000"/>
                <w:sz w:val="20"/>
                <w:szCs w:val="20"/>
                <w:lang w:eastAsia="en-GB" w:bidi="ar-SA"/>
              </w:rPr>
            </w:pPr>
            <w:r w:rsidRPr="00414F3B">
              <w:rPr>
                <w:rFonts w:cs="Arial"/>
                <w:color w:val="000000"/>
                <w:sz w:val="20"/>
                <w:szCs w:val="20"/>
                <w:lang w:eastAsia="en-GB" w:bidi="ar-SA"/>
              </w:rPr>
              <w:t xml:space="preserve">If exclusive permission for a specific brand is permitted, this option will only be of benefit to large corporate companies where resources are more readily available. Smaller companies may be unnecessarily disadvantaged if ‘speed to market’ is the only criteria for exclusivity of new foods. </w:t>
            </w:r>
          </w:p>
          <w:p w14:paraId="1741D8C7" w14:textId="77777777" w:rsidR="000865E6" w:rsidRPr="00056459" w:rsidRDefault="000865E6" w:rsidP="005554C7">
            <w:pPr>
              <w:widowControl/>
              <w:autoSpaceDE w:val="0"/>
              <w:autoSpaceDN w:val="0"/>
              <w:adjustRightInd w:val="0"/>
              <w:rPr>
                <w:rFonts w:cs="Arial"/>
                <w:color w:val="000000"/>
                <w:sz w:val="20"/>
                <w:szCs w:val="20"/>
                <w:lang w:val="en-AU" w:eastAsia="en-GB" w:bidi="ar-SA"/>
              </w:rPr>
            </w:pPr>
          </w:p>
        </w:tc>
        <w:tc>
          <w:tcPr>
            <w:tcW w:w="2874" w:type="dxa"/>
            <w:tcBorders>
              <w:bottom w:val="single" w:sz="4" w:space="0" w:color="000000"/>
            </w:tcBorders>
          </w:tcPr>
          <w:p w14:paraId="44FC0EAD" w14:textId="77777777" w:rsidR="000865E6" w:rsidRDefault="000865E6" w:rsidP="00303B5E">
            <w:pPr>
              <w:widowControl/>
              <w:autoSpaceDE w:val="0"/>
              <w:autoSpaceDN w:val="0"/>
              <w:adjustRightInd w:val="0"/>
              <w:rPr>
                <w:rFonts w:cs="Arial"/>
                <w:color w:val="000000"/>
                <w:sz w:val="20"/>
                <w:szCs w:val="20"/>
                <w:lang w:eastAsia="en-GB" w:bidi="ar-SA"/>
              </w:rPr>
            </w:pPr>
            <w:r>
              <w:rPr>
                <w:rFonts w:cs="Arial"/>
                <w:color w:val="000000"/>
                <w:sz w:val="20"/>
                <w:szCs w:val="20"/>
                <w:lang w:eastAsia="en-GB" w:bidi="ar-SA"/>
              </w:rPr>
              <w:t xml:space="preserve">Once an exclusive permission period ends the benefit is available to all food manufacturers because the permission becomes a generic permission for the food. </w:t>
            </w:r>
          </w:p>
          <w:p w14:paraId="54260EED" w14:textId="5558A699" w:rsidR="00FE5B17" w:rsidRDefault="00FE5B17" w:rsidP="00303B5E">
            <w:pPr>
              <w:widowControl/>
              <w:autoSpaceDE w:val="0"/>
              <w:autoSpaceDN w:val="0"/>
              <w:adjustRightInd w:val="0"/>
              <w:rPr>
                <w:rFonts w:cs="Arial"/>
                <w:color w:val="000000"/>
                <w:sz w:val="20"/>
                <w:szCs w:val="20"/>
                <w:lang w:val="en-AU" w:eastAsia="en-GB" w:bidi="ar-SA"/>
              </w:rPr>
            </w:pPr>
          </w:p>
        </w:tc>
      </w:tr>
    </w:tbl>
    <w:p w14:paraId="66FBC269" w14:textId="30FD5EEA" w:rsidR="002334A9" w:rsidRDefault="002334A9" w:rsidP="005554C7">
      <w:pPr>
        <w:pStyle w:val="FSTableTitle"/>
        <w:rPr>
          <w:lang w:bidi="ar-SA"/>
        </w:rPr>
      </w:pPr>
    </w:p>
    <w:p w14:paraId="3860475D" w14:textId="77777777" w:rsidR="002334A9" w:rsidRDefault="002334A9" w:rsidP="005554C7">
      <w:pPr>
        <w:pStyle w:val="FSTableTitle"/>
        <w:rPr>
          <w:lang w:bidi="ar-SA"/>
        </w:rPr>
      </w:pPr>
    </w:p>
    <w:p w14:paraId="292A2CAB" w14:textId="032EFA86" w:rsidR="005554C7" w:rsidRDefault="005554C7" w:rsidP="005554C7">
      <w:pPr>
        <w:pStyle w:val="FSTableTitle"/>
        <w:rPr>
          <w:lang w:bidi="ar-SA"/>
        </w:rPr>
      </w:pPr>
      <w:r>
        <w:rPr>
          <w:lang w:bidi="ar-SA"/>
        </w:rPr>
        <w:t xml:space="preserve">Table </w:t>
      </w:r>
      <w:r w:rsidR="00072CC7">
        <w:rPr>
          <w:lang w:bidi="ar-SA"/>
        </w:rPr>
        <w:t>5</w:t>
      </w:r>
      <w:r w:rsidR="002334A9">
        <w:rPr>
          <w:lang w:bidi="ar-SA"/>
        </w:rPr>
        <w:t xml:space="preserve">: </w:t>
      </w:r>
      <w:r>
        <w:rPr>
          <w:lang w:bidi="ar-SA"/>
        </w:rPr>
        <w:t xml:space="preserve">Submitter </w:t>
      </w:r>
      <w:r w:rsidRPr="00A15CB9">
        <w:rPr>
          <w:lang w:bidi="ar-SA"/>
        </w:rPr>
        <w:t xml:space="preserve">Comments on </w:t>
      </w:r>
      <w:r>
        <w:rPr>
          <w:lang w:bidi="ar-SA"/>
        </w:rPr>
        <w:t>Transitional arrangements for existing foods in the market</w:t>
      </w:r>
    </w:p>
    <w:p w14:paraId="31E283D2" w14:textId="77777777" w:rsidR="002334A9" w:rsidRPr="002334A9" w:rsidRDefault="002334A9" w:rsidP="00231BCA">
      <w:pPr>
        <w:rPr>
          <w:lang w:bidi="ar-SA"/>
        </w:rPr>
      </w:pPr>
    </w:p>
    <w:tbl>
      <w:tblPr>
        <w:tblStyle w:val="TableGrid4"/>
        <w:tblW w:w="14175" w:type="dxa"/>
        <w:tblLook w:val="06A0" w:firstRow="1" w:lastRow="0" w:firstColumn="1" w:lastColumn="0" w:noHBand="1" w:noVBand="1"/>
        <w:tblCaption w:val="Table 4. Submitter comments on transitional arrangements for existing foods in the market"/>
        <w:tblDescription w:val="Submitters addressed questions from the first call for submissions relating to transitional arrangmements for a new framework"/>
      </w:tblPr>
      <w:tblGrid>
        <w:gridCol w:w="2064"/>
        <w:gridCol w:w="1164"/>
        <w:gridCol w:w="8121"/>
        <w:gridCol w:w="2826"/>
      </w:tblGrid>
      <w:tr w:rsidR="005554C7" w:rsidRPr="00D400A5" w14:paraId="0BD495B5" w14:textId="77777777" w:rsidTr="00231BCA">
        <w:trPr>
          <w:tblHeader/>
        </w:trPr>
        <w:tc>
          <w:tcPr>
            <w:tcW w:w="2088" w:type="dxa"/>
            <w:shd w:val="clear" w:color="auto" w:fill="76923C" w:themeFill="accent3" w:themeFillShade="BF"/>
          </w:tcPr>
          <w:p w14:paraId="5200585D" w14:textId="77777777" w:rsidR="005554C7" w:rsidRPr="00D400A5" w:rsidRDefault="005554C7" w:rsidP="005554C7">
            <w:pPr>
              <w:widowControl/>
              <w:autoSpaceDE w:val="0"/>
              <w:autoSpaceDN w:val="0"/>
              <w:adjustRightInd w:val="0"/>
              <w:rPr>
                <w:rFonts w:cs="Arial"/>
                <w:iCs/>
                <w:sz w:val="20"/>
                <w:szCs w:val="20"/>
                <w:lang w:eastAsia="en-GB" w:bidi="ar-SA"/>
              </w:rPr>
            </w:pPr>
            <w:r w:rsidRPr="00D400A5">
              <w:rPr>
                <w:b/>
                <w:color w:val="FFFFFF" w:themeColor="background1"/>
              </w:rPr>
              <w:t>Issue</w:t>
            </w:r>
          </w:p>
        </w:tc>
        <w:tc>
          <w:tcPr>
            <w:tcW w:w="1170" w:type="dxa"/>
            <w:shd w:val="clear" w:color="auto" w:fill="76923C" w:themeFill="accent3" w:themeFillShade="BF"/>
          </w:tcPr>
          <w:p w14:paraId="724AC31F" w14:textId="77777777" w:rsidR="005554C7" w:rsidRPr="00D400A5" w:rsidRDefault="005554C7" w:rsidP="005554C7">
            <w:pPr>
              <w:rPr>
                <w:sz w:val="20"/>
                <w:szCs w:val="20"/>
              </w:rPr>
            </w:pPr>
            <w:r w:rsidRPr="00D400A5">
              <w:rPr>
                <w:b/>
                <w:color w:val="FFFFFF" w:themeColor="background1"/>
              </w:rPr>
              <w:t>Raised by</w:t>
            </w:r>
          </w:p>
        </w:tc>
        <w:tc>
          <w:tcPr>
            <w:tcW w:w="8370" w:type="dxa"/>
            <w:shd w:val="clear" w:color="auto" w:fill="76923C" w:themeFill="accent3" w:themeFillShade="BF"/>
          </w:tcPr>
          <w:p w14:paraId="392C6636" w14:textId="77777777" w:rsidR="005554C7" w:rsidRPr="00D400A5" w:rsidRDefault="005554C7" w:rsidP="005554C7">
            <w:pPr>
              <w:rPr>
                <w:b/>
                <w:color w:val="FFFFFF" w:themeColor="background1"/>
              </w:rPr>
            </w:pPr>
            <w:r w:rsidRPr="00D400A5">
              <w:rPr>
                <w:b/>
                <w:color w:val="FFFFFF" w:themeColor="background1"/>
              </w:rPr>
              <w:t>Submitter comments</w:t>
            </w:r>
          </w:p>
          <w:p w14:paraId="7759F94F" w14:textId="77777777" w:rsidR="005554C7" w:rsidRPr="00D400A5" w:rsidRDefault="005554C7" w:rsidP="005554C7">
            <w:pPr>
              <w:rPr>
                <w:sz w:val="20"/>
                <w:szCs w:val="20"/>
              </w:rPr>
            </w:pPr>
          </w:p>
        </w:tc>
        <w:tc>
          <w:tcPr>
            <w:tcW w:w="2874" w:type="dxa"/>
            <w:shd w:val="clear" w:color="auto" w:fill="76923C" w:themeFill="accent3" w:themeFillShade="BF"/>
          </w:tcPr>
          <w:p w14:paraId="51BE47C8" w14:textId="77777777" w:rsidR="005554C7" w:rsidRPr="00D400A5" w:rsidRDefault="005554C7" w:rsidP="005554C7">
            <w:pPr>
              <w:jc w:val="center"/>
              <w:rPr>
                <w:b/>
                <w:color w:val="FFFFFF" w:themeColor="background1"/>
              </w:rPr>
            </w:pPr>
            <w:r>
              <w:rPr>
                <w:b/>
                <w:color w:val="FFFFFF" w:themeColor="background1"/>
              </w:rPr>
              <w:t>Response</w:t>
            </w:r>
          </w:p>
        </w:tc>
      </w:tr>
      <w:tr w:rsidR="005554C7" w:rsidRPr="00D400A5" w14:paraId="4830F3F6" w14:textId="77777777" w:rsidTr="00231BCA">
        <w:tc>
          <w:tcPr>
            <w:tcW w:w="14502" w:type="dxa"/>
            <w:gridSpan w:val="4"/>
            <w:shd w:val="clear" w:color="auto" w:fill="EAF1DD" w:themeFill="accent3" w:themeFillTint="33"/>
          </w:tcPr>
          <w:p w14:paraId="757FF041" w14:textId="77777777" w:rsidR="005554C7" w:rsidRPr="00D400A5" w:rsidRDefault="005554C7" w:rsidP="00D47418">
            <w:pPr>
              <w:spacing w:before="60" w:after="60"/>
              <w:rPr>
                <w:rFonts w:cs="Arial"/>
                <w:b/>
                <w:iCs/>
                <w:sz w:val="20"/>
                <w:szCs w:val="20"/>
                <w:lang w:eastAsia="en-GB" w:bidi="ar-SA"/>
              </w:rPr>
            </w:pPr>
            <w:r w:rsidRPr="00D400A5">
              <w:rPr>
                <w:rFonts w:cs="Arial"/>
                <w:b/>
                <w:iCs/>
                <w:sz w:val="20"/>
                <w:szCs w:val="20"/>
                <w:lang w:eastAsia="en-GB" w:bidi="ar-SA"/>
              </w:rPr>
              <w:t>CFS Question: Do you support a cut-off date? Please provide reasons for your view.</w:t>
            </w:r>
          </w:p>
        </w:tc>
      </w:tr>
      <w:tr w:rsidR="005554C7" w:rsidRPr="00D400A5" w14:paraId="1D7E350A" w14:textId="77777777" w:rsidTr="00231BCA">
        <w:tc>
          <w:tcPr>
            <w:tcW w:w="2088" w:type="dxa"/>
            <w:vMerge w:val="restart"/>
            <w:shd w:val="clear" w:color="auto" w:fill="auto"/>
          </w:tcPr>
          <w:p w14:paraId="190BF212" w14:textId="77777777" w:rsidR="005554C7" w:rsidRPr="00D400A5" w:rsidRDefault="005554C7" w:rsidP="005554C7">
            <w:pPr>
              <w:rPr>
                <w:rFonts w:cs="Arial"/>
                <w:iCs/>
                <w:sz w:val="20"/>
                <w:szCs w:val="20"/>
                <w:lang w:eastAsia="en-GB" w:bidi="ar-SA"/>
              </w:rPr>
            </w:pPr>
            <w:r w:rsidRPr="00D400A5">
              <w:rPr>
                <w:rFonts w:cs="Arial"/>
                <w:iCs/>
                <w:sz w:val="20"/>
                <w:szCs w:val="20"/>
                <w:lang w:eastAsia="en-GB" w:bidi="ar-SA"/>
              </w:rPr>
              <w:t>Supports a cut-off date</w:t>
            </w:r>
          </w:p>
          <w:p w14:paraId="7A525DE0" w14:textId="77777777" w:rsidR="005554C7" w:rsidRPr="00D400A5" w:rsidRDefault="005554C7" w:rsidP="005554C7">
            <w:pPr>
              <w:rPr>
                <w:rFonts w:cs="Arial"/>
                <w:sz w:val="20"/>
                <w:szCs w:val="20"/>
              </w:rPr>
            </w:pPr>
          </w:p>
          <w:p w14:paraId="44E84333" w14:textId="77777777" w:rsidR="005554C7" w:rsidRPr="00D400A5" w:rsidRDefault="005554C7" w:rsidP="005554C7">
            <w:pPr>
              <w:rPr>
                <w:rFonts w:cs="Arial"/>
                <w:sz w:val="20"/>
                <w:szCs w:val="20"/>
              </w:rPr>
            </w:pPr>
          </w:p>
          <w:p w14:paraId="1D66D9DD" w14:textId="77777777" w:rsidR="005554C7" w:rsidRPr="00D400A5" w:rsidRDefault="005554C7" w:rsidP="005554C7">
            <w:pPr>
              <w:rPr>
                <w:rFonts w:cs="Arial"/>
                <w:sz w:val="20"/>
                <w:szCs w:val="20"/>
              </w:rPr>
            </w:pPr>
          </w:p>
          <w:p w14:paraId="0DC0C110" w14:textId="77777777" w:rsidR="005554C7" w:rsidRPr="00D400A5" w:rsidRDefault="005554C7" w:rsidP="005554C7">
            <w:pPr>
              <w:rPr>
                <w:rFonts w:cs="Arial"/>
                <w:sz w:val="20"/>
                <w:szCs w:val="20"/>
              </w:rPr>
            </w:pPr>
          </w:p>
          <w:p w14:paraId="36BB4B1F" w14:textId="77777777" w:rsidR="005554C7" w:rsidRPr="00D400A5" w:rsidRDefault="005554C7" w:rsidP="005554C7">
            <w:pPr>
              <w:rPr>
                <w:rFonts w:cs="Arial"/>
                <w:iCs/>
                <w:sz w:val="20"/>
                <w:szCs w:val="20"/>
                <w:lang w:eastAsia="en-GB" w:bidi="ar-SA"/>
              </w:rPr>
            </w:pPr>
          </w:p>
        </w:tc>
        <w:tc>
          <w:tcPr>
            <w:tcW w:w="1170" w:type="dxa"/>
            <w:shd w:val="clear" w:color="auto" w:fill="auto"/>
          </w:tcPr>
          <w:p w14:paraId="4A3DA29A" w14:textId="77777777" w:rsidR="005554C7" w:rsidRPr="00D400A5" w:rsidRDefault="005554C7" w:rsidP="005554C7">
            <w:pPr>
              <w:rPr>
                <w:sz w:val="20"/>
                <w:szCs w:val="20"/>
              </w:rPr>
            </w:pPr>
            <w:r w:rsidRPr="00D400A5">
              <w:rPr>
                <w:sz w:val="20"/>
                <w:szCs w:val="20"/>
              </w:rPr>
              <w:t>Aspen, AFGC, Comvita, Dairy, DCANZ, Frucor, Nestlé, NZFGC, NZMPI</w:t>
            </w:r>
          </w:p>
        </w:tc>
        <w:tc>
          <w:tcPr>
            <w:tcW w:w="8370" w:type="dxa"/>
            <w:shd w:val="clear" w:color="auto" w:fill="auto"/>
          </w:tcPr>
          <w:p w14:paraId="3993CC95" w14:textId="6352F17D" w:rsidR="005554C7" w:rsidRDefault="005554C7" w:rsidP="005554C7">
            <w:pPr>
              <w:rPr>
                <w:sz w:val="20"/>
                <w:szCs w:val="20"/>
              </w:rPr>
            </w:pPr>
            <w:r w:rsidRPr="00D400A5">
              <w:rPr>
                <w:sz w:val="20"/>
                <w:szCs w:val="20"/>
              </w:rPr>
              <w:t>A number of these submitters gave the following reasons for their support:</w:t>
            </w:r>
          </w:p>
          <w:p w14:paraId="0007362F" w14:textId="77777777" w:rsidR="00FE5B17" w:rsidRPr="00D400A5" w:rsidRDefault="00FE5B17" w:rsidP="005554C7">
            <w:pPr>
              <w:rPr>
                <w:sz w:val="20"/>
                <w:szCs w:val="20"/>
              </w:rPr>
            </w:pPr>
          </w:p>
          <w:p w14:paraId="761C3369" w14:textId="77777777" w:rsidR="005554C7" w:rsidRPr="009D0C23" w:rsidRDefault="005554C7" w:rsidP="00FE5B17">
            <w:pPr>
              <w:pStyle w:val="FSBullet1"/>
              <w:numPr>
                <w:ilvl w:val="0"/>
                <w:numId w:val="11"/>
              </w:numPr>
              <w:ind w:left="284" w:hanging="284"/>
              <w:rPr>
                <w:rFonts w:eastAsiaTheme="minorHAnsi" w:cstheme="minorBidi"/>
                <w:sz w:val="20"/>
              </w:rPr>
            </w:pPr>
            <w:r w:rsidRPr="009D0C23">
              <w:rPr>
                <w:rFonts w:eastAsiaTheme="minorHAnsi"/>
                <w:sz w:val="20"/>
                <w:lang w:eastAsia="en-GB"/>
              </w:rPr>
              <w:t>The advantage of a cut-off date is that it objectively identifies and removes doubt about the foods that will be subject to the proposed new framework (AFGC, Aspen, Comvita, NZFGC).</w:t>
            </w:r>
            <w:r w:rsidRPr="009D0C23">
              <w:rPr>
                <w:rFonts w:eastAsiaTheme="minorHAnsi" w:cstheme="minorBidi"/>
                <w:sz w:val="20"/>
              </w:rPr>
              <w:t xml:space="preserve"> </w:t>
            </w:r>
          </w:p>
          <w:p w14:paraId="32ED47B2" w14:textId="77777777" w:rsidR="005554C7" w:rsidRPr="009D0C23" w:rsidRDefault="005554C7" w:rsidP="00FE5B17">
            <w:pPr>
              <w:pStyle w:val="FSBullet1"/>
              <w:numPr>
                <w:ilvl w:val="0"/>
                <w:numId w:val="11"/>
              </w:numPr>
              <w:ind w:left="284" w:hanging="284"/>
              <w:rPr>
                <w:rFonts w:eastAsiaTheme="minorHAnsi" w:cstheme="minorBidi"/>
                <w:sz w:val="20"/>
              </w:rPr>
            </w:pPr>
            <w:r w:rsidRPr="009D0C23">
              <w:rPr>
                <w:rFonts w:eastAsiaTheme="minorHAnsi" w:cstheme="minorBidi"/>
                <w:sz w:val="20"/>
              </w:rPr>
              <w:t>Re-defining terms like ‘history of human consumption’ through a cut-off date as it is the most efficient way of providing legal certainty (NZMPI).</w:t>
            </w:r>
          </w:p>
          <w:p w14:paraId="53E43794" w14:textId="77777777" w:rsidR="005554C7" w:rsidRPr="009D0C23" w:rsidRDefault="005554C7" w:rsidP="00FE5B17">
            <w:pPr>
              <w:pStyle w:val="FSBullet1"/>
              <w:numPr>
                <w:ilvl w:val="0"/>
                <w:numId w:val="11"/>
              </w:numPr>
              <w:ind w:left="284" w:hanging="284"/>
              <w:rPr>
                <w:rFonts w:eastAsiaTheme="minorHAnsi" w:cstheme="minorBidi"/>
                <w:sz w:val="20"/>
              </w:rPr>
            </w:pPr>
            <w:r w:rsidRPr="009D0C23">
              <w:rPr>
                <w:rFonts w:eastAsiaTheme="minorHAnsi" w:cstheme="minorBidi"/>
                <w:sz w:val="20"/>
              </w:rPr>
              <w:t>A cut-off date allows industry to work towards a deadline (Frucor)</w:t>
            </w:r>
          </w:p>
          <w:p w14:paraId="75350047" w14:textId="77777777" w:rsidR="005554C7" w:rsidRPr="00D400A5" w:rsidRDefault="005554C7" w:rsidP="005554C7">
            <w:pPr>
              <w:rPr>
                <w:sz w:val="20"/>
                <w:szCs w:val="20"/>
              </w:rPr>
            </w:pPr>
          </w:p>
        </w:tc>
        <w:tc>
          <w:tcPr>
            <w:tcW w:w="2874" w:type="dxa"/>
          </w:tcPr>
          <w:p w14:paraId="0D58A9FE" w14:textId="1A14D875" w:rsidR="005554C7" w:rsidRPr="00D400A5" w:rsidRDefault="005554C7" w:rsidP="005554C7">
            <w:pPr>
              <w:rPr>
                <w:sz w:val="20"/>
                <w:szCs w:val="20"/>
              </w:rPr>
            </w:pPr>
            <w:r>
              <w:rPr>
                <w:sz w:val="20"/>
                <w:szCs w:val="20"/>
              </w:rPr>
              <w:t>Support for the proposed approach is noted</w:t>
            </w:r>
            <w:r w:rsidR="00000B19">
              <w:rPr>
                <w:sz w:val="20"/>
                <w:szCs w:val="20"/>
              </w:rPr>
              <w:t>.</w:t>
            </w:r>
          </w:p>
        </w:tc>
      </w:tr>
      <w:tr w:rsidR="005554C7" w:rsidRPr="00D400A5" w14:paraId="134C1C54" w14:textId="77777777" w:rsidTr="00231BCA">
        <w:tc>
          <w:tcPr>
            <w:tcW w:w="2088" w:type="dxa"/>
            <w:vMerge/>
            <w:shd w:val="clear" w:color="auto" w:fill="auto"/>
          </w:tcPr>
          <w:p w14:paraId="0DC58A37" w14:textId="77777777" w:rsidR="005554C7" w:rsidRPr="00D400A5" w:rsidRDefault="005554C7" w:rsidP="005554C7">
            <w:pPr>
              <w:rPr>
                <w:rFonts w:cs="Arial"/>
                <w:sz w:val="20"/>
                <w:szCs w:val="20"/>
              </w:rPr>
            </w:pPr>
          </w:p>
        </w:tc>
        <w:tc>
          <w:tcPr>
            <w:tcW w:w="1170" w:type="dxa"/>
            <w:shd w:val="clear" w:color="auto" w:fill="auto"/>
          </w:tcPr>
          <w:p w14:paraId="6E5421B1" w14:textId="77777777" w:rsidR="005554C7" w:rsidRPr="00D400A5" w:rsidRDefault="005554C7" w:rsidP="005554C7">
            <w:pPr>
              <w:rPr>
                <w:sz w:val="20"/>
                <w:szCs w:val="20"/>
              </w:rPr>
            </w:pPr>
            <w:r w:rsidRPr="00D400A5">
              <w:rPr>
                <w:sz w:val="20"/>
                <w:szCs w:val="20"/>
              </w:rPr>
              <w:t>Fonterra, INC</w:t>
            </w:r>
          </w:p>
        </w:tc>
        <w:tc>
          <w:tcPr>
            <w:tcW w:w="8370" w:type="dxa"/>
            <w:shd w:val="clear" w:color="auto" w:fill="auto"/>
          </w:tcPr>
          <w:p w14:paraId="2C9D689B" w14:textId="77777777" w:rsidR="005554C7" w:rsidRPr="00D400A5" w:rsidRDefault="005554C7" w:rsidP="005554C7">
            <w:pPr>
              <w:rPr>
                <w:sz w:val="20"/>
                <w:szCs w:val="20"/>
              </w:rPr>
            </w:pPr>
            <w:r w:rsidRPr="00D400A5">
              <w:rPr>
                <w:sz w:val="20"/>
                <w:szCs w:val="20"/>
              </w:rPr>
              <w:t>Supports a cut-off date only if products under Standards 2.9.1, 2.9.2 and 2.9.5 are included.</w:t>
            </w:r>
          </w:p>
          <w:p w14:paraId="2DC2CBF7" w14:textId="77777777" w:rsidR="005554C7" w:rsidRPr="00D400A5" w:rsidRDefault="005554C7" w:rsidP="005554C7">
            <w:pPr>
              <w:rPr>
                <w:sz w:val="20"/>
                <w:szCs w:val="20"/>
              </w:rPr>
            </w:pPr>
          </w:p>
        </w:tc>
        <w:tc>
          <w:tcPr>
            <w:tcW w:w="2874" w:type="dxa"/>
          </w:tcPr>
          <w:p w14:paraId="2D0747FA" w14:textId="77777777" w:rsidR="005554C7" w:rsidRDefault="005554C7" w:rsidP="00000B19">
            <w:pPr>
              <w:rPr>
                <w:sz w:val="20"/>
                <w:szCs w:val="20"/>
              </w:rPr>
            </w:pPr>
            <w:r>
              <w:rPr>
                <w:sz w:val="20"/>
                <w:szCs w:val="20"/>
              </w:rPr>
              <w:t>Transitional arrangements for these standards are clarified in section 3.</w:t>
            </w:r>
            <w:r w:rsidR="00000B19">
              <w:rPr>
                <w:sz w:val="20"/>
                <w:szCs w:val="20"/>
              </w:rPr>
              <w:t>2 of the consultation paper</w:t>
            </w:r>
            <w:r>
              <w:rPr>
                <w:sz w:val="20"/>
                <w:szCs w:val="20"/>
              </w:rPr>
              <w:t>.</w:t>
            </w:r>
          </w:p>
          <w:p w14:paraId="25178B6A" w14:textId="0A0CC320" w:rsidR="002334A9" w:rsidRPr="00D400A5" w:rsidRDefault="002334A9" w:rsidP="00000B19">
            <w:pPr>
              <w:rPr>
                <w:sz w:val="20"/>
                <w:szCs w:val="20"/>
              </w:rPr>
            </w:pPr>
          </w:p>
        </w:tc>
      </w:tr>
      <w:tr w:rsidR="005554C7" w:rsidRPr="00D400A5" w14:paraId="73079C04" w14:textId="77777777" w:rsidTr="00231BCA">
        <w:tc>
          <w:tcPr>
            <w:tcW w:w="14502" w:type="dxa"/>
            <w:gridSpan w:val="4"/>
            <w:shd w:val="clear" w:color="auto" w:fill="EAF1DD" w:themeFill="accent3" w:themeFillTint="33"/>
          </w:tcPr>
          <w:p w14:paraId="69E78C8B" w14:textId="77777777" w:rsidR="005554C7" w:rsidRPr="00D400A5" w:rsidRDefault="005554C7" w:rsidP="00FE5B17">
            <w:pPr>
              <w:pageBreakBefore/>
              <w:spacing w:before="60" w:after="60"/>
              <w:rPr>
                <w:rFonts w:cs="Arial"/>
                <w:b/>
                <w:iCs/>
                <w:sz w:val="20"/>
                <w:szCs w:val="20"/>
                <w:lang w:eastAsia="en-GB" w:bidi="ar-SA"/>
              </w:rPr>
            </w:pPr>
            <w:r w:rsidRPr="00D400A5">
              <w:rPr>
                <w:rFonts w:cs="Arial"/>
                <w:b/>
                <w:iCs/>
                <w:sz w:val="20"/>
                <w:szCs w:val="20"/>
                <w:lang w:eastAsia="en-GB" w:bidi="ar-SA"/>
              </w:rPr>
              <w:lastRenderedPageBreak/>
              <w:t>CFS Question: Do you see a need for grandfathering provisions? Please provide reasons for your view</w:t>
            </w:r>
            <w:r w:rsidRPr="00D400A5">
              <w:rPr>
                <w:rFonts w:cs="Arial"/>
                <w:b/>
                <w:sz w:val="20"/>
                <w:szCs w:val="20"/>
                <w:lang w:eastAsia="en-GB" w:bidi="ar-SA"/>
              </w:rPr>
              <w:t>.</w:t>
            </w:r>
          </w:p>
        </w:tc>
      </w:tr>
      <w:tr w:rsidR="005554C7" w:rsidRPr="00D400A5" w14:paraId="1A0E0CAC" w14:textId="77777777" w:rsidTr="00231BCA">
        <w:tc>
          <w:tcPr>
            <w:tcW w:w="2088" w:type="dxa"/>
            <w:shd w:val="clear" w:color="auto" w:fill="auto"/>
          </w:tcPr>
          <w:p w14:paraId="05F93866" w14:textId="77777777" w:rsidR="005554C7" w:rsidRPr="00D400A5" w:rsidRDefault="005554C7" w:rsidP="005554C7">
            <w:pPr>
              <w:rPr>
                <w:rFonts w:cs="Arial"/>
                <w:iCs/>
                <w:sz w:val="20"/>
                <w:szCs w:val="20"/>
                <w:lang w:eastAsia="en-GB" w:bidi="ar-SA"/>
              </w:rPr>
            </w:pPr>
            <w:r w:rsidRPr="00D400A5">
              <w:rPr>
                <w:rFonts w:cs="Arial"/>
                <w:iCs/>
                <w:sz w:val="20"/>
                <w:szCs w:val="20"/>
                <w:lang w:eastAsia="en-GB" w:bidi="ar-SA"/>
              </w:rPr>
              <w:t>Supports the grandfathering of provisions</w:t>
            </w:r>
          </w:p>
        </w:tc>
        <w:tc>
          <w:tcPr>
            <w:tcW w:w="1170" w:type="dxa"/>
            <w:tcBorders>
              <w:bottom w:val="single" w:sz="4" w:space="0" w:color="000000"/>
            </w:tcBorders>
            <w:shd w:val="clear" w:color="auto" w:fill="auto"/>
          </w:tcPr>
          <w:p w14:paraId="44F54698" w14:textId="77777777" w:rsidR="005554C7" w:rsidRPr="00D400A5" w:rsidRDefault="005554C7" w:rsidP="005554C7">
            <w:pPr>
              <w:rPr>
                <w:sz w:val="20"/>
                <w:szCs w:val="20"/>
              </w:rPr>
            </w:pPr>
            <w:r w:rsidRPr="00D400A5">
              <w:rPr>
                <w:sz w:val="20"/>
                <w:szCs w:val="20"/>
              </w:rPr>
              <w:t>Aspen, AFGC, Comvita, Dairy, DN, DCANZ, Fonterra, INC, Nestlé, NZFGC, NZMPI, Vic Govt</w:t>
            </w:r>
          </w:p>
        </w:tc>
        <w:tc>
          <w:tcPr>
            <w:tcW w:w="8370" w:type="dxa"/>
            <w:tcBorders>
              <w:bottom w:val="single" w:sz="4" w:space="0" w:color="000000"/>
            </w:tcBorders>
            <w:shd w:val="clear" w:color="auto" w:fill="auto"/>
          </w:tcPr>
          <w:p w14:paraId="10A20F23" w14:textId="16C88575" w:rsidR="005554C7" w:rsidRDefault="005554C7" w:rsidP="005554C7">
            <w:pPr>
              <w:widowControl/>
              <w:autoSpaceDE w:val="0"/>
              <w:autoSpaceDN w:val="0"/>
              <w:adjustRightInd w:val="0"/>
              <w:rPr>
                <w:rFonts w:cs="Arial"/>
                <w:sz w:val="20"/>
                <w:szCs w:val="20"/>
                <w:lang w:eastAsia="en-GB" w:bidi="ar-SA"/>
              </w:rPr>
            </w:pPr>
            <w:r w:rsidRPr="00D400A5">
              <w:rPr>
                <w:rFonts w:cs="Arial"/>
                <w:sz w:val="20"/>
                <w:szCs w:val="20"/>
                <w:lang w:eastAsia="en-GB" w:bidi="ar-SA"/>
              </w:rPr>
              <w:t>The following reasons were provided by submitters for their support:</w:t>
            </w:r>
          </w:p>
          <w:p w14:paraId="25B49B85" w14:textId="77777777" w:rsidR="00FE5B17" w:rsidRPr="00D400A5" w:rsidRDefault="00FE5B17" w:rsidP="005554C7">
            <w:pPr>
              <w:widowControl/>
              <w:autoSpaceDE w:val="0"/>
              <w:autoSpaceDN w:val="0"/>
              <w:adjustRightInd w:val="0"/>
              <w:rPr>
                <w:rFonts w:cs="Arial"/>
                <w:sz w:val="20"/>
                <w:szCs w:val="20"/>
                <w:lang w:eastAsia="en-GB" w:bidi="ar-SA"/>
              </w:rPr>
            </w:pPr>
          </w:p>
          <w:p w14:paraId="342B63FE" w14:textId="77777777" w:rsidR="005554C7" w:rsidRPr="009D0C23" w:rsidRDefault="005554C7" w:rsidP="00FE5B17">
            <w:pPr>
              <w:pStyle w:val="FSBullet1"/>
              <w:numPr>
                <w:ilvl w:val="0"/>
                <w:numId w:val="11"/>
              </w:numPr>
              <w:ind w:left="284" w:hanging="284"/>
              <w:rPr>
                <w:rFonts w:eastAsiaTheme="minorHAnsi"/>
                <w:sz w:val="20"/>
              </w:rPr>
            </w:pPr>
            <w:r w:rsidRPr="009D0C23">
              <w:rPr>
                <w:rFonts w:eastAsiaTheme="minorHAnsi"/>
                <w:sz w:val="20"/>
              </w:rPr>
              <w:t>Will remove doubts about foods and/or ingredients that are currently available for purchase (Aspen, NZFGC).</w:t>
            </w:r>
          </w:p>
          <w:p w14:paraId="7FA7DC8A" w14:textId="77777777" w:rsidR="005554C7" w:rsidRPr="009D0C23" w:rsidRDefault="005554C7" w:rsidP="00FE5B17">
            <w:pPr>
              <w:pStyle w:val="FSBullet1"/>
              <w:numPr>
                <w:ilvl w:val="0"/>
                <w:numId w:val="11"/>
              </w:numPr>
              <w:ind w:left="284" w:hanging="284"/>
              <w:rPr>
                <w:rFonts w:eastAsiaTheme="minorHAnsi"/>
                <w:color w:val="000000"/>
                <w:sz w:val="20"/>
                <w:lang w:eastAsia="en-GB"/>
              </w:rPr>
            </w:pPr>
            <w:r w:rsidRPr="009D0C23">
              <w:rPr>
                <w:rFonts w:eastAsiaTheme="minorHAnsi"/>
                <w:color w:val="000000"/>
                <w:sz w:val="20"/>
                <w:lang w:eastAsia="en-GB"/>
              </w:rPr>
              <w:t xml:space="preserve">Grandfathering eliminates the regulatory burden on foods that were eligible to be put on the market at that time (Comvita). </w:t>
            </w:r>
          </w:p>
          <w:p w14:paraId="65C48F18" w14:textId="77777777" w:rsidR="005554C7" w:rsidRPr="00D400A5" w:rsidRDefault="005554C7" w:rsidP="00FE5B17">
            <w:pPr>
              <w:pStyle w:val="FSBullet1"/>
              <w:numPr>
                <w:ilvl w:val="0"/>
                <w:numId w:val="11"/>
              </w:numPr>
              <w:ind w:left="284" w:hanging="284"/>
              <w:rPr>
                <w:rFonts w:eastAsiaTheme="minorHAnsi"/>
                <w:lang w:eastAsia="en-GB"/>
              </w:rPr>
            </w:pPr>
            <w:r w:rsidRPr="009D0C23">
              <w:rPr>
                <w:rFonts w:eastAsiaTheme="minorHAnsi"/>
                <w:iCs/>
                <w:sz w:val="20"/>
              </w:rPr>
              <w:t>Grandfathering provides certainty (Nestlé).</w:t>
            </w:r>
          </w:p>
        </w:tc>
        <w:tc>
          <w:tcPr>
            <w:tcW w:w="2874" w:type="dxa"/>
            <w:tcBorders>
              <w:bottom w:val="single" w:sz="4" w:space="0" w:color="000000"/>
            </w:tcBorders>
          </w:tcPr>
          <w:p w14:paraId="40B27A63" w14:textId="26A64AB7" w:rsidR="005554C7" w:rsidRPr="00D400A5" w:rsidRDefault="005554C7" w:rsidP="005554C7">
            <w:pPr>
              <w:widowControl/>
              <w:autoSpaceDE w:val="0"/>
              <w:autoSpaceDN w:val="0"/>
              <w:adjustRightInd w:val="0"/>
              <w:rPr>
                <w:rFonts w:cs="Arial"/>
                <w:sz w:val="20"/>
                <w:szCs w:val="20"/>
                <w:lang w:eastAsia="en-GB" w:bidi="ar-SA"/>
              </w:rPr>
            </w:pPr>
            <w:r>
              <w:rPr>
                <w:sz w:val="20"/>
                <w:szCs w:val="20"/>
              </w:rPr>
              <w:t>Support for the proposed approach is noted</w:t>
            </w:r>
            <w:r w:rsidR="00000B19">
              <w:rPr>
                <w:sz w:val="20"/>
                <w:szCs w:val="20"/>
              </w:rPr>
              <w:t>.</w:t>
            </w:r>
          </w:p>
        </w:tc>
      </w:tr>
      <w:tr w:rsidR="005554C7" w:rsidRPr="00D400A5" w14:paraId="6307ECE8" w14:textId="77777777" w:rsidTr="00231BCA">
        <w:tc>
          <w:tcPr>
            <w:tcW w:w="2088" w:type="dxa"/>
            <w:shd w:val="clear" w:color="auto" w:fill="auto"/>
          </w:tcPr>
          <w:p w14:paraId="2808DAC2" w14:textId="77777777" w:rsidR="005554C7" w:rsidRPr="00D400A5" w:rsidRDefault="005554C7" w:rsidP="005554C7">
            <w:pPr>
              <w:rPr>
                <w:rFonts w:cs="Arial"/>
                <w:sz w:val="20"/>
                <w:szCs w:val="20"/>
              </w:rPr>
            </w:pPr>
            <w:r w:rsidRPr="00D400A5">
              <w:rPr>
                <w:rFonts w:cs="Arial"/>
                <w:sz w:val="20"/>
                <w:szCs w:val="20"/>
              </w:rPr>
              <w:t>The types of novel foods that should be grandfathered</w:t>
            </w:r>
          </w:p>
        </w:tc>
        <w:tc>
          <w:tcPr>
            <w:tcW w:w="1170" w:type="dxa"/>
            <w:tcBorders>
              <w:bottom w:val="single" w:sz="4" w:space="0" w:color="000000"/>
            </w:tcBorders>
            <w:shd w:val="clear" w:color="auto" w:fill="auto"/>
          </w:tcPr>
          <w:p w14:paraId="76BD07C2" w14:textId="77777777" w:rsidR="005554C7" w:rsidRPr="00D400A5" w:rsidRDefault="005554C7" w:rsidP="005554C7">
            <w:pPr>
              <w:rPr>
                <w:sz w:val="20"/>
                <w:szCs w:val="20"/>
              </w:rPr>
            </w:pPr>
            <w:r w:rsidRPr="00D400A5">
              <w:rPr>
                <w:sz w:val="20"/>
                <w:szCs w:val="20"/>
              </w:rPr>
              <w:t>DCANZ, Nestlé NZMPI</w:t>
            </w:r>
          </w:p>
        </w:tc>
        <w:tc>
          <w:tcPr>
            <w:tcW w:w="8370" w:type="dxa"/>
            <w:tcBorders>
              <w:bottom w:val="single" w:sz="4" w:space="0" w:color="000000"/>
            </w:tcBorders>
            <w:shd w:val="clear" w:color="auto" w:fill="auto"/>
          </w:tcPr>
          <w:p w14:paraId="4CDFA206" w14:textId="58CFB555" w:rsidR="005554C7" w:rsidRDefault="005554C7" w:rsidP="005554C7">
            <w:pPr>
              <w:widowControl/>
              <w:autoSpaceDE w:val="0"/>
              <w:autoSpaceDN w:val="0"/>
              <w:adjustRightInd w:val="0"/>
              <w:rPr>
                <w:rFonts w:cs="Arial"/>
                <w:color w:val="000000"/>
                <w:sz w:val="20"/>
                <w:szCs w:val="20"/>
                <w:lang w:eastAsia="en-GB" w:bidi="ar-SA"/>
              </w:rPr>
            </w:pPr>
            <w:r w:rsidRPr="00D400A5">
              <w:rPr>
                <w:rFonts w:cs="Arial"/>
                <w:color w:val="000000"/>
                <w:sz w:val="20"/>
                <w:szCs w:val="20"/>
                <w:lang w:eastAsia="en-GB" w:bidi="ar-SA"/>
              </w:rPr>
              <w:t xml:space="preserve">These submitters supported grandfathering provisions, but requested clarity on the types of novel foods that would or should be captured: </w:t>
            </w:r>
          </w:p>
          <w:p w14:paraId="336C631C" w14:textId="77777777" w:rsidR="00FE5B17" w:rsidRPr="00D400A5" w:rsidRDefault="00FE5B17" w:rsidP="005554C7">
            <w:pPr>
              <w:widowControl/>
              <w:autoSpaceDE w:val="0"/>
              <w:autoSpaceDN w:val="0"/>
              <w:adjustRightInd w:val="0"/>
              <w:rPr>
                <w:rFonts w:cs="Arial"/>
                <w:color w:val="000000"/>
                <w:sz w:val="20"/>
                <w:szCs w:val="20"/>
                <w:lang w:eastAsia="en-GB" w:bidi="ar-SA"/>
              </w:rPr>
            </w:pPr>
          </w:p>
          <w:p w14:paraId="3A57A675" w14:textId="3259EBF6" w:rsidR="005554C7" w:rsidRPr="009D0C23" w:rsidRDefault="005554C7"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Novel foods and nutritive substances that are currently on the market but not permitted under Schedule 25 should not be grandfathered in automatically, as some of them may not have had any pre-market assessment. FSANZ should consider a market scan of such foods (NZMPI).</w:t>
            </w:r>
          </w:p>
          <w:p w14:paraId="4F99AE05" w14:textId="77777777" w:rsidR="005554C7" w:rsidRPr="009D0C23" w:rsidRDefault="005554C7" w:rsidP="00FE5B17">
            <w:pPr>
              <w:pStyle w:val="FSBullet1"/>
              <w:numPr>
                <w:ilvl w:val="0"/>
                <w:numId w:val="11"/>
              </w:numPr>
              <w:ind w:left="284" w:hanging="284"/>
              <w:rPr>
                <w:rFonts w:eastAsiaTheme="minorHAnsi"/>
                <w:sz w:val="20"/>
                <w:lang w:eastAsia="en-GB"/>
              </w:rPr>
            </w:pPr>
            <w:r w:rsidRPr="009D0C23">
              <w:rPr>
                <w:rFonts w:eastAsiaTheme="minorHAnsi"/>
                <w:sz w:val="20"/>
                <w:lang w:eastAsia="en-GB"/>
              </w:rPr>
              <w:t>Need to reconsider those foods with ACNF opinions (NZMPI)</w:t>
            </w:r>
          </w:p>
          <w:p w14:paraId="55B5D5A6" w14:textId="77777777" w:rsidR="005554C7" w:rsidRPr="009D0C23" w:rsidRDefault="005554C7" w:rsidP="00FE5B17">
            <w:pPr>
              <w:pStyle w:val="FSBullet1"/>
              <w:numPr>
                <w:ilvl w:val="0"/>
                <w:numId w:val="11"/>
              </w:numPr>
              <w:ind w:left="284" w:hanging="284"/>
              <w:rPr>
                <w:rFonts w:eastAsiaTheme="minorHAnsi"/>
                <w:sz w:val="20"/>
              </w:rPr>
            </w:pPr>
            <w:r w:rsidRPr="009D0C23">
              <w:rPr>
                <w:rFonts w:eastAsiaTheme="minorHAnsi"/>
                <w:sz w:val="20"/>
              </w:rPr>
              <w:t xml:space="preserve">Supplemented foods manufactured in compliance with the New Zealand </w:t>
            </w:r>
            <w:r w:rsidRPr="009D0C23">
              <w:rPr>
                <w:rFonts w:eastAsiaTheme="minorHAnsi"/>
                <w:i/>
                <w:sz w:val="20"/>
              </w:rPr>
              <w:t>Food (Supplemented Food) Standard 2013</w:t>
            </w:r>
            <w:r w:rsidRPr="009D0C23">
              <w:rPr>
                <w:rFonts w:eastAsiaTheme="minorHAnsi"/>
                <w:sz w:val="20"/>
              </w:rPr>
              <w:t xml:space="preserve"> should be captured and grandfathered into the novel foods standard (DCANZ).</w:t>
            </w:r>
          </w:p>
          <w:p w14:paraId="1F4FD360" w14:textId="77777777" w:rsidR="005554C7" w:rsidRDefault="005554C7" w:rsidP="00FE5B17">
            <w:pPr>
              <w:pStyle w:val="FSBullet1"/>
              <w:numPr>
                <w:ilvl w:val="0"/>
                <w:numId w:val="11"/>
              </w:numPr>
              <w:ind w:left="284" w:hanging="284"/>
              <w:rPr>
                <w:rFonts w:eastAsiaTheme="minorHAnsi"/>
                <w:color w:val="000000"/>
                <w:sz w:val="20"/>
                <w:lang w:eastAsia="en-GB"/>
              </w:rPr>
            </w:pPr>
            <w:r w:rsidRPr="009D0C23">
              <w:rPr>
                <w:rFonts w:eastAsiaTheme="minorHAnsi"/>
                <w:iCs/>
                <w:sz w:val="20"/>
              </w:rPr>
              <w:t xml:space="preserve">Does grandfathering apply to truly novel substances, or new foods built from existing permitted ingredients/substances? </w:t>
            </w:r>
            <w:r w:rsidRPr="009D0C23">
              <w:rPr>
                <w:rFonts w:eastAsiaTheme="minorHAnsi"/>
                <w:color w:val="000000"/>
                <w:sz w:val="20"/>
                <w:lang w:eastAsia="en-GB"/>
              </w:rPr>
              <w:t>What about new uses for foods already permitted via the red lane? What about imported foods ingredients or substances that may be used in limited quantities, will these be ‘grandfathered’? (Nestlé)</w:t>
            </w:r>
          </w:p>
          <w:p w14:paraId="083CB709" w14:textId="463F7C4A" w:rsidR="002334A9" w:rsidRPr="00231BCA" w:rsidRDefault="002334A9" w:rsidP="00231BCA">
            <w:pPr>
              <w:rPr>
                <w:rFonts w:eastAsiaTheme="minorHAnsi"/>
                <w:lang w:eastAsia="en-GB"/>
              </w:rPr>
            </w:pPr>
          </w:p>
        </w:tc>
        <w:tc>
          <w:tcPr>
            <w:tcW w:w="2874" w:type="dxa"/>
            <w:tcBorders>
              <w:bottom w:val="single" w:sz="4" w:space="0" w:color="000000"/>
            </w:tcBorders>
          </w:tcPr>
          <w:p w14:paraId="6B852FD6" w14:textId="77777777" w:rsidR="00000B19" w:rsidRDefault="00000B19" w:rsidP="005554C7">
            <w:pPr>
              <w:widowControl/>
              <w:autoSpaceDE w:val="0"/>
              <w:autoSpaceDN w:val="0"/>
              <w:adjustRightInd w:val="0"/>
              <w:rPr>
                <w:sz w:val="20"/>
                <w:szCs w:val="20"/>
              </w:rPr>
            </w:pPr>
            <w:r>
              <w:rPr>
                <w:sz w:val="20"/>
                <w:szCs w:val="20"/>
              </w:rPr>
              <w:t>Transitional arrangements for these standards are clarified in section 3.2 of the consultation paper.</w:t>
            </w:r>
          </w:p>
          <w:p w14:paraId="7736794E" w14:textId="77777777" w:rsidR="00000B19" w:rsidRDefault="00000B19" w:rsidP="005554C7">
            <w:pPr>
              <w:widowControl/>
              <w:autoSpaceDE w:val="0"/>
              <w:autoSpaceDN w:val="0"/>
              <w:adjustRightInd w:val="0"/>
              <w:rPr>
                <w:sz w:val="20"/>
                <w:szCs w:val="20"/>
              </w:rPr>
            </w:pPr>
          </w:p>
          <w:p w14:paraId="2DD51809" w14:textId="7FD8974C" w:rsidR="005554C7" w:rsidRPr="00D400A5" w:rsidRDefault="005554C7" w:rsidP="005554C7">
            <w:pPr>
              <w:widowControl/>
              <w:autoSpaceDE w:val="0"/>
              <w:autoSpaceDN w:val="0"/>
              <w:adjustRightInd w:val="0"/>
              <w:rPr>
                <w:rFonts w:cs="Arial"/>
                <w:color w:val="000000"/>
                <w:sz w:val="20"/>
                <w:szCs w:val="20"/>
                <w:lang w:eastAsia="en-GB" w:bidi="ar-SA"/>
              </w:rPr>
            </w:pPr>
            <w:r w:rsidRPr="00350F5F">
              <w:rPr>
                <w:rFonts w:eastAsiaTheme="minorHAnsi" w:cstheme="minorBidi"/>
                <w:sz w:val="20"/>
                <w:szCs w:val="20"/>
                <w:lang w:bidi="ar-SA"/>
              </w:rPr>
              <w:t xml:space="preserve"> </w:t>
            </w:r>
          </w:p>
        </w:tc>
      </w:tr>
      <w:tr w:rsidR="005554C7" w:rsidRPr="00D400A5" w14:paraId="461DC1B0" w14:textId="77777777" w:rsidTr="00231BCA">
        <w:tc>
          <w:tcPr>
            <w:tcW w:w="2088" w:type="dxa"/>
            <w:shd w:val="clear" w:color="auto" w:fill="auto"/>
          </w:tcPr>
          <w:p w14:paraId="42185FBD" w14:textId="77777777" w:rsidR="005554C7" w:rsidRPr="00D400A5" w:rsidRDefault="005554C7" w:rsidP="005554C7">
            <w:pPr>
              <w:rPr>
                <w:rFonts w:cs="Arial"/>
                <w:iCs/>
                <w:sz w:val="20"/>
                <w:szCs w:val="20"/>
                <w:lang w:eastAsia="en-GB" w:bidi="ar-SA"/>
              </w:rPr>
            </w:pPr>
            <w:r w:rsidRPr="00D400A5">
              <w:rPr>
                <w:rFonts w:cs="Arial"/>
                <w:iCs/>
                <w:sz w:val="20"/>
                <w:szCs w:val="20"/>
                <w:lang w:eastAsia="en-GB" w:bidi="ar-SA"/>
              </w:rPr>
              <w:t xml:space="preserve">Suggested method for grandfathering </w:t>
            </w:r>
          </w:p>
        </w:tc>
        <w:tc>
          <w:tcPr>
            <w:tcW w:w="1170" w:type="dxa"/>
            <w:tcBorders>
              <w:bottom w:val="single" w:sz="4" w:space="0" w:color="000000"/>
            </w:tcBorders>
            <w:shd w:val="clear" w:color="auto" w:fill="auto"/>
          </w:tcPr>
          <w:p w14:paraId="3C1DBF3C" w14:textId="77777777" w:rsidR="005554C7" w:rsidRPr="00D400A5" w:rsidRDefault="005554C7" w:rsidP="005554C7">
            <w:pPr>
              <w:ind w:left="113" w:hanging="113"/>
              <w:rPr>
                <w:sz w:val="20"/>
                <w:szCs w:val="20"/>
              </w:rPr>
            </w:pPr>
            <w:r w:rsidRPr="00D400A5">
              <w:rPr>
                <w:sz w:val="20"/>
                <w:szCs w:val="20"/>
              </w:rPr>
              <w:t>Vic Govt</w:t>
            </w:r>
          </w:p>
        </w:tc>
        <w:tc>
          <w:tcPr>
            <w:tcW w:w="8370" w:type="dxa"/>
            <w:tcBorders>
              <w:bottom w:val="single" w:sz="4" w:space="0" w:color="000000"/>
            </w:tcBorders>
            <w:shd w:val="clear" w:color="auto" w:fill="auto"/>
          </w:tcPr>
          <w:p w14:paraId="5C3E3803" w14:textId="77777777" w:rsidR="005554C7" w:rsidRPr="00D400A5" w:rsidRDefault="005554C7" w:rsidP="005554C7">
            <w:pPr>
              <w:widowControl/>
              <w:autoSpaceDE w:val="0"/>
              <w:autoSpaceDN w:val="0"/>
              <w:adjustRightInd w:val="0"/>
              <w:rPr>
                <w:rFonts w:cs="Arial"/>
                <w:sz w:val="20"/>
                <w:szCs w:val="20"/>
                <w:lang w:eastAsia="en-GB" w:bidi="ar-SA"/>
              </w:rPr>
            </w:pPr>
            <w:r>
              <w:rPr>
                <w:rFonts w:cs="Arial"/>
                <w:sz w:val="20"/>
                <w:szCs w:val="20"/>
                <w:lang w:eastAsia="en-GB" w:bidi="ar-SA"/>
              </w:rPr>
              <w:t xml:space="preserve">Addressed existing permissions only. </w:t>
            </w:r>
            <w:r w:rsidRPr="00D400A5">
              <w:rPr>
                <w:rFonts w:cs="Arial"/>
                <w:sz w:val="20"/>
                <w:szCs w:val="20"/>
                <w:lang w:eastAsia="en-GB" w:bidi="ar-SA"/>
              </w:rPr>
              <w:t>The Code should include a schedule of eligible foods (including non-eligible foods that passed gateway tests). Current permissions could be moved to this list, which could have one section with GRAS status, the other with restrictions.</w:t>
            </w:r>
          </w:p>
          <w:p w14:paraId="59F7B569" w14:textId="77777777" w:rsidR="005554C7" w:rsidRPr="00D400A5" w:rsidRDefault="005554C7" w:rsidP="005554C7">
            <w:pPr>
              <w:widowControl/>
              <w:autoSpaceDE w:val="0"/>
              <w:autoSpaceDN w:val="0"/>
              <w:adjustRightInd w:val="0"/>
              <w:rPr>
                <w:sz w:val="20"/>
                <w:szCs w:val="20"/>
              </w:rPr>
            </w:pPr>
          </w:p>
        </w:tc>
        <w:tc>
          <w:tcPr>
            <w:tcW w:w="2874" w:type="dxa"/>
            <w:tcBorders>
              <w:bottom w:val="single" w:sz="4" w:space="0" w:color="000000"/>
            </w:tcBorders>
          </w:tcPr>
          <w:p w14:paraId="0EF773AF" w14:textId="730420DC" w:rsidR="002334A9" w:rsidRDefault="001F1740" w:rsidP="00E34EA1">
            <w:pPr>
              <w:widowControl/>
              <w:autoSpaceDE w:val="0"/>
              <w:autoSpaceDN w:val="0"/>
              <w:adjustRightInd w:val="0"/>
              <w:rPr>
                <w:rFonts w:cs="Arial"/>
                <w:sz w:val="20"/>
                <w:szCs w:val="20"/>
                <w:lang w:eastAsia="en-GB" w:bidi="ar-SA"/>
              </w:rPr>
            </w:pPr>
            <w:r>
              <w:rPr>
                <w:rFonts w:cs="Arial"/>
                <w:sz w:val="20"/>
                <w:szCs w:val="20"/>
                <w:lang w:eastAsia="en-GB" w:bidi="ar-SA"/>
              </w:rPr>
              <w:t xml:space="preserve">FSANZ considers a </w:t>
            </w:r>
            <w:r w:rsidR="0025383C">
              <w:rPr>
                <w:rFonts w:cs="Arial"/>
                <w:sz w:val="20"/>
                <w:szCs w:val="20"/>
                <w:lang w:eastAsia="en-GB" w:bidi="ar-SA"/>
              </w:rPr>
              <w:t>list of all</w:t>
            </w:r>
            <w:r>
              <w:rPr>
                <w:rFonts w:cs="Arial"/>
                <w:sz w:val="20"/>
                <w:szCs w:val="20"/>
                <w:lang w:eastAsia="en-GB" w:bidi="ar-SA"/>
              </w:rPr>
              <w:t xml:space="preserve"> eligible foods is unlikely to comprehensively cover all new foods. FSANZ considers the EFC pathway provides a risk proportionate approach to the risks that may be presented by new foods. </w:t>
            </w:r>
          </w:p>
        </w:tc>
      </w:tr>
      <w:tr w:rsidR="005554C7" w:rsidRPr="00D400A5" w14:paraId="4463ECD5" w14:textId="77777777" w:rsidTr="00231BCA">
        <w:trPr>
          <w:trHeight w:val="346"/>
        </w:trPr>
        <w:tc>
          <w:tcPr>
            <w:tcW w:w="14502" w:type="dxa"/>
            <w:gridSpan w:val="4"/>
            <w:shd w:val="clear" w:color="auto" w:fill="EAF1DD" w:themeFill="accent3" w:themeFillTint="33"/>
            <w:vAlign w:val="center"/>
          </w:tcPr>
          <w:p w14:paraId="4DD6CC2E" w14:textId="77777777" w:rsidR="005554C7" w:rsidRPr="00D400A5" w:rsidRDefault="005554C7" w:rsidP="00E14548">
            <w:pPr>
              <w:jc w:val="center"/>
              <w:rPr>
                <w:sz w:val="20"/>
                <w:szCs w:val="20"/>
              </w:rPr>
            </w:pPr>
            <w:r w:rsidRPr="00904428">
              <w:rPr>
                <w:rFonts w:cs="Arial"/>
                <w:b/>
                <w:color w:val="000000"/>
                <w:sz w:val="20"/>
                <w:szCs w:val="20"/>
                <w:lang w:eastAsia="en-GB" w:bidi="ar-SA"/>
              </w:rPr>
              <w:lastRenderedPageBreak/>
              <w:t>Consideration of Microorganisms</w:t>
            </w:r>
          </w:p>
        </w:tc>
      </w:tr>
      <w:tr w:rsidR="005554C7" w:rsidRPr="00D400A5" w14:paraId="5C9A9AB6" w14:textId="77777777" w:rsidTr="00231BCA">
        <w:tc>
          <w:tcPr>
            <w:tcW w:w="2088" w:type="dxa"/>
            <w:shd w:val="clear" w:color="auto" w:fill="auto"/>
          </w:tcPr>
          <w:p w14:paraId="48818557" w14:textId="77777777" w:rsidR="005554C7" w:rsidRDefault="005554C7" w:rsidP="005554C7">
            <w:pPr>
              <w:rPr>
                <w:sz w:val="20"/>
                <w:szCs w:val="20"/>
              </w:rPr>
            </w:pPr>
          </w:p>
        </w:tc>
        <w:tc>
          <w:tcPr>
            <w:tcW w:w="1170" w:type="dxa"/>
            <w:shd w:val="clear" w:color="auto" w:fill="auto"/>
          </w:tcPr>
          <w:p w14:paraId="2BE52BE7" w14:textId="0E1EBF2B" w:rsidR="005554C7" w:rsidRPr="00904428" w:rsidRDefault="005554C7" w:rsidP="005554C7">
            <w:pPr>
              <w:rPr>
                <w:rFonts w:cs="Arial"/>
                <w:sz w:val="20"/>
                <w:szCs w:val="20"/>
                <w:lang w:eastAsia="en-GB" w:bidi="ar-SA"/>
              </w:rPr>
            </w:pPr>
            <w:r w:rsidRPr="00904428">
              <w:rPr>
                <w:rFonts w:cs="Arial"/>
                <w:sz w:val="20"/>
                <w:szCs w:val="20"/>
                <w:lang w:eastAsia="en-GB" w:bidi="ar-SA"/>
              </w:rPr>
              <w:t>AFGC</w:t>
            </w:r>
            <w:r w:rsidR="001F1740">
              <w:rPr>
                <w:rFonts w:cs="Arial"/>
                <w:sz w:val="20"/>
                <w:szCs w:val="20"/>
                <w:lang w:eastAsia="en-GB" w:bidi="ar-SA"/>
              </w:rPr>
              <w:t>, INC</w:t>
            </w:r>
          </w:p>
        </w:tc>
        <w:tc>
          <w:tcPr>
            <w:tcW w:w="8370" w:type="dxa"/>
            <w:shd w:val="clear" w:color="auto" w:fill="auto"/>
          </w:tcPr>
          <w:p w14:paraId="1D946327" w14:textId="77777777" w:rsidR="005554C7" w:rsidRDefault="005554C7" w:rsidP="005554C7">
            <w:pPr>
              <w:widowControl/>
              <w:autoSpaceDE w:val="0"/>
              <w:autoSpaceDN w:val="0"/>
              <w:adjustRightInd w:val="0"/>
              <w:rPr>
                <w:rFonts w:cs="Arial"/>
                <w:sz w:val="20"/>
                <w:szCs w:val="20"/>
                <w:lang w:eastAsia="en-GB" w:bidi="ar-SA"/>
              </w:rPr>
            </w:pPr>
            <w:r w:rsidRPr="00904428">
              <w:rPr>
                <w:rFonts w:cs="Arial"/>
                <w:sz w:val="20"/>
                <w:szCs w:val="20"/>
                <w:lang w:eastAsia="en-GB" w:bidi="ar-SA"/>
              </w:rPr>
              <w:t>Does not support the establishment of a list of microorganisms which can be used following gazettal – there doesn’t seem to be any other rationale for requiring all new micro-organisms to undergo pre-market assessment. Micro-organisms are widely used in the food and beverage sector, the population of micro-organisms is dynamic and diverse. To constrain use by a positive list is neither efficient nor practical.</w:t>
            </w:r>
          </w:p>
          <w:p w14:paraId="11D219D5" w14:textId="77777777" w:rsidR="002334A9" w:rsidRPr="00904428" w:rsidRDefault="002334A9" w:rsidP="005554C7">
            <w:pPr>
              <w:widowControl/>
              <w:autoSpaceDE w:val="0"/>
              <w:autoSpaceDN w:val="0"/>
              <w:adjustRightInd w:val="0"/>
              <w:rPr>
                <w:rFonts w:cs="Arial"/>
                <w:sz w:val="20"/>
                <w:szCs w:val="20"/>
                <w:lang w:eastAsia="en-GB" w:bidi="ar-SA"/>
              </w:rPr>
            </w:pPr>
          </w:p>
        </w:tc>
        <w:tc>
          <w:tcPr>
            <w:tcW w:w="2874" w:type="dxa"/>
          </w:tcPr>
          <w:p w14:paraId="4435BCD9" w14:textId="0628B8D7" w:rsidR="005554C7" w:rsidRPr="00904428" w:rsidRDefault="001F1740" w:rsidP="00337C28">
            <w:pPr>
              <w:widowControl/>
              <w:autoSpaceDE w:val="0"/>
              <w:autoSpaceDN w:val="0"/>
              <w:adjustRightInd w:val="0"/>
              <w:rPr>
                <w:rFonts w:cs="Arial"/>
                <w:sz w:val="20"/>
                <w:szCs w:val="20"/>
                <w:lang w:eastAsia="en-GB" w:bidi="ar-SA"/>
              </w:rPr>
            </w:pPr>
            <w:r>
              <w:rPr>
                <w:rFonts w:cs="Arial"/>
                <w:sz w:val="20"/>
                <w:szCs w:val="20"/>
                <w:lang w:eastAsia="en-GB" w:bidi="ar-SA"/>
              </w:rPr>
              <w:t xml:space="preserve">Noted. FSANZ </w:t>
            </w:r>
            <w:r w:rsidR="00337C28">
              <w:rPr>
                <w:rFonts w:cs="Arial"/>
                <w:sz w:val="20"/>
                <w:szCs w:val="20"/>
                <w:lang w:eastAsia="en-GB" w:bidi="ar-SA"/>
              </w:rPr>
              <w:t>seeks input on</w:t>
            </w:r>
            <w:r w:rsidR="001350AB">
              <w:rPr>
                <w:rFonts w:cs="Arial"/>
                <w:sz w:val="20"/>
                <w:szCs w:val="20"/>
                <w:lang w:eastAsia="en-GB" w:bidi="ar-SA"/>
              </w:rPr>
              <w:t xml:space="preserve"> </w:t>
            </w:r>
            <w:r w:rsidR="00337C28">
              <w:rPr>
                <w:rFonts w:cs="Arial"/>
                <w:sz w:val="20"/>
                <w:szCs w:val="20"/>
                <w:lang w:eastAsia="en-GB" w:bidi="ar-SA"/>
              </w:rPr>
              <w:t xml:space="preserve">the </w:t>
            </w:r>
            <w:r w:rsidR="001350AB">
              <w:rPr>
                <w:rFonts w:cs="Arial"/>
                <w:sz w:val="20"/>
                <w:szCs w:val="20"/>
                <w:lang w:eastAsia="en-GB" w:bidi="ar-SA"/>
              </w:rPr>
              <w:t xml:space="preserve">alternative approach </w:t>
            </w:r>
            <w:r w:rsidR="00337C28">
              <w:rPr>
                <w:rFonts w:cs="Arial"/>
                <w:sz w:val="20"/>
                <w:szCs w:val="20"/>
                <w:lang w:eastAsia="en-GB" w:bidi="ar-SA"/>
              </w:rPr>
              <w:t xml:space="preserve">outlined </w:t>
            </w:r>
            <w:r w:rsidR="001350AB">
              <w:rPr>
                <w:rFonts w:cs="Arial"/>
                <w:sz w:val="20"/>
                <w:szCs w:val="20"/>
                <w:lang w:eastAsia="en-GB" w:bidi="ar-SA"/>
              </w:rPr>
              <w:t xml:space="preserve">in the consultation paper (section 3.2.2.4). </w:t>
            </w:r>
          </w:p>
        </w:tc>
      </w:tr>
      <w:tr w:rsidR="001F1740" w:rsidRPr="00D400A5" w14:paraId="722AE20D" w14:textId="77777777" w:rsidTr="00231BCA">
        <w:tc>
          <w:tcPr>
            <w:tcW w:w="2088" w:type="dxa"/>
            <w:shd w:val="clear" w:color="auto" w:fill="auto"/>
          </w:tcPr>
          <w:p w14:paraId="486EEC18" w14:textId="77777777" w:rsidR="001F1740" w:rsidRDefault="001F1740" w:rsidP="005554C7">
            <w:pPr>
              <w:rPr>
                <w:sz w:val="20"/>
                <w:szCs w:val="20"/>
              </w:rPr>
            </w:pPr>
          </w:p>
        </w:tc>
        <w:tc>
          <w:tcPr>
            <w:tcW w:w="1170" w:type="dxa"/>
            <w:shd w:val="clear" w:color="auto" w:fill="auto"/>
          </w:tcPr>
          <w:p w14:paraId="62642ABC" w14:textId="66A50B1E" w:rsidR="001F1740" w:rsidRPr="00904428" w:rsidRDefault="00DF7DC5" w:rsidP="005554C7">
            <w:pPr>
              <w:rPr>
                <w:rFonts w:cs="Arial"/>
                <w:sz w:val="20"/>
                <w:szCs w:val="20"/>
                <w:lang w:eastAsia="en-GB" w:bidi="ar-SA"/>
              </w:rPr>
            </w:pPr>
            <w:r>
              <w:rPr>
                <w:rFonts w:cs="Arial"/>
                <w:sz w:val="20"/>
                <w:szCs w:val="20"/>
                <w:lang w:eastAsia="en-GB" w:bidi="ar-SA"/>
              </w:rPr>
              <w:t xml:space="preserve">AFGC, NZFGC, Dairy, Fonterra, </w:t>
            </w:r>
            <w:r w:rsidR="00E34EA1" w:rsidRPr="00D400A5">
              <w:rPr>
                <w:sz w:val="20"/>
                <w:szCs w:val="20"/>
              </w:rPr>
              <w:t>Nestlé</w:t>
            </w:r>
          </w:p>
        </w:tc>
        <w:tc>
          <w:tcPr>
            <w:tcW w:w="8370" w:type="dxa"/>
            <w:shd w:val="clear" w:color="auto" w:fill="auto"/>
          </w:tcPr>
          <w:p w14:paraId="441C841A" w14:textId="77777777" w:rsidR="001F1740" w:rsidRDefault="001F1740" w:rsidP="00DF7DC5">
            <w:pPr>
              <w:widowControl/>
              <w:autoSpaceDE w:val="0"/>
              <w:autoSpaceDN w:val="0"/>
              <w:adjustRightInd w:val="0"/>
              <w:rPr>
                <w:rFonts w:cs="Arial"/>
                <w:sz w:val="20"/>
                <w:szCs w:val="20"/>
                <w:lang w:eastAsia="en-GB" w:bidi="ar-SA"/>
              </w:rPr>
            </w:pPr>
            <w:r>
              <w:rPr>
                <w:rFonts w:cs="Arial"/>
                <w:sz w:val="20"/>
                <w:szCs w:val="20"/>
                <w:lang w:eastAsia="en-GB" w:bidi="ar-SA"/>
              </w:rPr>
              <w:t>Long history of use of micr</w:t>
            </w:r>
            <w:r w:rsidR="00DF7DC5">
              <w:rPr>
                <w:rFonts w:cs="Arial"/>
                <w:sz w:val="20"/>
                <w:szCs w:val="20"/>
                <w:lang w:eastAsia="en-GB" w:bidi="ar-SA"/>
              </w:rPr>
              <w:t>o</w:t>
            </w:r>
            <w:r>
              <w:rPr>
                <w:rFonts w:cs="Arial"/>
                <w:sz w:val="20"/>
                <w:szCs w:val="20"/>
                <w:lang w:eastAsia="en-GB" w:bidi="ar-SA"/>
              </w:rPr>
              <w:t>organisms in a variety of foods and there are cases where the exact composition of microorganisms is not known</w:t>
            </w:r>
            <w:r w:rsidR="00DF7DC5">
              <w:rPr>
                <w:rFonts w:cs="Arial"/>
                <w:sz w:val="20"/>
                <w:szCs w:val="20"/>
                <w:lang w:eastAsia="en-GB" w:bidi="ar-SA"/>
              </w:rPr>
              <w:t xml:space="preserve"> (e.g. starter cultures, fermentation organisms)</w:t>
            </w:r>
            <w:r>
              <w:rPr>
                <w:rFonts w:cs="Arial"/>
                <w:sz w:val="20"/>
                <w:szCs w:val="20"/>
                <w:lang w:eastAsia="en-GB" w:bidi="ar-SA"/>
              </w:rPr>
              <w:t xml:space="preserve">. </w:t>
            </w:r>
            <w:r w:rsidR="00DF7DC5">
              <w:rPr>
                <w:rFonts w:cs="Arial"/>
                <w:sz w:val="20"/>
                <w:szCs w:val="20"/>
                <w:lang w:eastAsia="en-GB" w:bidi="ar-SA"/>
              </w:rPr>
              <w:t xml:space="preserve">A positive list is unlikely to cover all possibilities and will require ongoing monitoring and updating, with likely delays or lags in updating the list creating impediments to innovation. In addition, accidental omissions from a positive list may occur. </w:t>
            </w:r>
          </w:p>
          <w:p w14:paraId="37C85C38" w14:textId="01CF5715" w:rsidR="002334A9" w:rsidRPr="00904428" w:rsidRDefault="002334A9" w:rsidP="00DF7DC5">
            <w:pPr>
              <w:widowControl/>
              <w:autoSpaceDE w:val="0"/>
              <w:autoSpaceDN w:val="0"/>
              <w:adjustRightInd w:val="0"/>
              <w:rPr>
                <w:rFonts w:cs="Arial"/>
                <w:sz w:val="20"/>
                <w:szCs w:val="20"/>
                <w:lang w:eastAsia="en-GB" w:bidi="ar-SA"/>
              </w:rPr>
            </w:pPr>
          </w:p>
        </w:tc>
        <w:tc>
          <w:tcPr>
            <w:tcW w:w="2874" w:type="dxa"/>
          </w:tcPr>
          <w:p w14:paraId="1C8695BB" w14:textId="0A334267" w:rsidR="001F1740" w:rsidRDefault="001350AB" w:rsidP="005554C7">
            <w:pPr>
              <w:widowControl/>
              <w:autoSpaceDE w:val="0"/>
              <w:autoSpaceDN w:val="0"/>
              <w:adjustRightInd w:val="0"/>
              <w:rPr>
                <w:rFonts w:cs="Arial"/>
                <w:sz w:val="20"/>
                <w:szCs w:val="20"/>
                <w:lang w:eastAsia="en-GB" w:bidi="ar-SA"/>
              </w:rPr>
            </w:pPr>
            <w:r>
              <w:rPr>
                <w:rFonts w:cs="Arial"/>
                <w:sz w:val="20"/>
                <w:szCs w:val="20"/>
                <w:lang w:eastAsia="en-GB" w:bidi="ar-SA"/>
              </w:rPr>
              <w:t>As above.</w:t>
            </w:r>
          </w:p>
        </w:tc>
      </w:tr>
      <w:tr w:rsidR="00DF7DC5" w:rsidRPr="00D400A5" w14:paraId="29D6C1D0" w14:textId="77777777" w:rsidTr="00231BCA">
        <w:tc>
          <w:tcPr>
            <w:tcW w:w="2088" w:type="dxa"/>
            <w:shd w:val="clear" w:color="auto" w:fill="auto"/>
          </w:tcPr>
          <w:p w14:paraId="032BFECF" w14:textId="77777777" w:rsidR="00DF7DC5" w:rsidRDefault="00DF7DC5" w:rsidP="005554C7">
            <w:pPr>
              <w:rPr>
                <w:sz w:val="20"/>
                <w:szCs w:val="20"/>
              </w:rPr>
            </w:pPr>
          </w:p>
        </w:tc>
        <w:tc>
          <w:tcPr>
            <w:tcW w:w="1170" w:type="dxa"/>
            <w:shd w:val="clear" w:color="auto" w:fill="auto"/>
          </w:tcPr>
          <w:p w14:paraId="7F4F4F9A" w14:textId="77777777" w:rsidR="00DF7DC5" w:rsidRDefault="00DF7DC5" w:rsidP="005554C7">
            <w:pPr>
              <w:rPr>
                <w:rFonts w:cs="Arial"/>
                <w:sz w:val="20"/>
                <w:szCs w:val="20"/>
                <w:lang w:eastAsia="en-GB" w:bidi="ar-SA"/>
              </w:rPr>
            </w:pPr>
            <w:r>
              <w:rPr>
                <w:rFonts w:cs="Arial"/>
                <w:sz w:val="20"/>
                <w:szCs w:val="20"/>
                <w:lang w:eastAsia="en-GB" w:bidi="ar-SA"/>
              </w:rPr>
              <w:t>DCANZ, Dairy, Fonterra, INC, NZFGC</w:t>
            </w:r>
          </w:p>
          <w:p w14:paraId="49DAF77B" w14:textId="4FB8CAF7" w:rsidR="00E34EA1" w:rsidRDefault="00E34EA1" w:rsidP="005554C7">
            <w:pPr>
              <w:rPr>
                <w:rFonts w:cs="Arial"/>
                <w:sz w:val="20"/>
                <w:szCs w:val="20"/>
                <w:lang w:eastAsia="en-GB" w:bidi="ar-SA"/>
              </w:rPr>
            </w:pPr>
          </w:p>
        </w:tc>
        <w:tc>
          <w:tcPr>
            <w:tcW w:w="8370" w:type="dxa"/>
            <w:shd w:val="clear" w:color="auto" w:fill="auto"/>
          </w:tcPr>
          <w:p w14:paraId="705510EF" w14:textId="2A651B21" w:rsidR="00DF7DC5" w:rsidRDefault="00DF7DC5" w:rsidP="00DF7DC5">
            <w:pPr>
              <w:widowControl/>
              <w:autoSpaceDE w:val="0"/>
              <w:autoSpaceDN w:val="0"/>
              <w:adjustRightInd w:val="0"/>
              <w:rPr>
                <w:rFonts w:cs="Arial"/>
                <w:sz w:val="20"/>
                <w:szCs w:val="20"/>
                <w:lang w:eastAsia="en-GB" w:bidi="ar-SA"/>
              </w:rPr>
            </w:pPr>
            <w:r>
              <w:rPr>
                <w:rFonts w:cs="Arial"/>
                <w:sz w:val="20"/>
                <w:szCs w:val="20"/>
                <w:lang w:eastAsia="en-GB" w:bidi="ar-SA"/>
              </w:rPr>
              <w:t>If a positive list is included in the Code, the European Union Qualified Presumption of Safety list should be a starting point; other reference sources should also be considered.</w:t>
            </w:r>
          </w:p>
        </w:tc>
        <w:tc>
          <w:tcPr>
            <w:tcW w:w="2874" w:type="dxa"/>
          </w:tcPr>
          <w:p w14:paraId="0A779D35" w14:textId="6B870CA2" w:rsidR="00DF7DC5" w:rsidRDefault="001350AB" w:rsidP="005554C7">
            <w:pPr>
              <w:widowControl/>
              <w:autoSpaceDE w:val="0"/>
              <w:autoSpaceDN w:val="0"/>
              <w:adjustRightInd w:val="0"/>
              <w:rPr>
                <w:rFonts w:cs="Arial"/>
                <w:sz w:val="20"/>
                <w:szCs w:val="20"/>
                <w:lang w:eastAsia="en-GB" w:bidi="ar-SA"/>
              </w:rPr>
            </w:pPr>
            <w:r>
              <w:rPr>
                <w:rFonts w:cs="Arial"/>
                <w:sz w:val="20"/>
                <w:szCs w:val="20"/>
                <w:lang w:eastAsia="en-GB" w:bidi="ar-SA"/>
              </w:rPr>
              <w:t xml:space="preserve">As above. </w:t>
            </w:r>
          </w:p>
        </w:tc>
      </w:tr>
      <w:tr w:rsidR="005554C7" w:rsidRPr="00D400A5" w14:paraId="34B19225" w14:textId="77777777" w:rsidTr="00231BCA">
        <w:tc>
          <w:tcPr>
            <w:tcW w:w="2088" w:type="dxa"/>
            <w:shd w:val="clear" w:color="auto" w:fill="auto"/>
          </w:tcPr>
          <w:p w14:paraId="322E15B4" w14:textId="77777777" w:rsidR="005554C7" w:rsidRDefault="005554C7" w:rsidP="005554C7">
            <w:pPr>
              <w:rPr>
                <w:sz w:val="20"/>
                <w:szCs w:val="20"/>
              </w:rPr>
            </w:pPr>
          </w:p>
        </w:tc>
        <w:tc>
          <w:tcPr>
            <w:tcW w:w="1170" w:type="dxa"/>
            <w:shd w:val="clear" w:color="auto" w:fill="auto"/>
          </w:tcPr>
          <w:p w14:paraId="2D036F36" w14:textId="77777777" w:rsidR="005554C7" w:rsidRPr="00904428" w:rsidRDefault="005554C7" w:rsidP="005554C7">
            <w:pPr>
              <w:rPr>
                <w:rFonts w:cs="Arial"/>
                <w:sz w:val="20"/>
                <w:szCs w:val="20"/>
                <w:lang w:eastAsia="en-GB" w:bidi="ar-SA"/>
              </w:rPr>
            </w:pPr>
            <w:r w:rsidRPr="00904428">
              <w:rPr>
                <w:rFonts w:cs="Arial"/>
                <w:sz w:val="20"/>
                <w:szCs w:val="20"/>
                <w:lang w:eastAsia="en-GB" w:bidi="ar-SA"/>
              </w:rPr>
              <w:t>Comvita</w:t>
            </w:r>
          </w:p>
        </w:tc>
        <w:tc>
          <w:tcPr>
            <w:tcW w:w="8370" w:type="dxa"/>
            <w:shd w:val="clear" w:color="auto" w:fill="auto"/>
          </w:tcPr>
          <w:p w14:paraId="188D4170" w14:textId="77777777" w:rsidR="005554C7" w:rsidRDefault="005554C7" w:rsidP="001350AB">
            <w:pPr>
              <w:autoSpaceDE w:val="0"/>
              <w:autoSpaceDN w:val="0"/>
              <w:adjustRightInd w:val="0"/>
              <w:rPr>
                <w:rFonts w:cs="Arial"/>
                <w:sz w:val="20"/>
                <w:szCs w:val="20"/>
                <w:lang w:eastAsia="en-GB" w:bidi="ar-SA"/>
              </w:rPr>
            </w:pPr>
            <w:r w:rsidRPr="00904428">
              <w:rPr>
                <w:rFonts w:cs="Arial"/>
                <w:sz w:val="20"/>
                <w:szCs w:val="20"/>
                <w:lang w:eastAsia="en-GB" w:bidi="ar-SA"/>
              </w:rPr>
              <w:t>A</w:t>
            </w:r>
            <w:r w:rsidRPr="00496316">
              <w:rPr>
                <w:rFonts w:cs="Arial"/>
                <w:sz w:val="20"/>
                <w:szCs w:val="20"/>
                <w:lang w:eastAsia="en-GB" w:bidi="ar-SA"/>
              </w:rPr>
              <w:t>gree</w:t>
            </w:r>
            <w:r w:rsidRPr="00904428">
              <w:rPr>
                <w:rFonts w:cs="Arial"/>
                <w:sz w:val="20"/>
                <w:szCs w:val="20"/>
                <w:lang w:eastAsia="en-GB" w:bidi="ar-SA"/>
              </w:rPr>
              <w:t xml:space="preserve">s with a list of microorganisms which do </w:t>
            </w:r>
            <w:r w:rsidRPr="00496316">
              <w:rPr>
                <w:rFonts w:cs="Arial"/>
                <w:sz w:val="20"/>
                <w:szCs w:val="20"/>
                <w:lang w:eastAsia="en-GB" w:bidi="ar-SA"/>
              </w:rPr>
              <w:t xml:space="preserve">not need regulatory approval. </w:t>
            </w:r>
          </w:p>
          <w:p w14:paraId="3CF1A786" w14:textId="74B97D57" w:rsidR="002334A9" w:rsidRPr="00904428" w:rsidRDefault="002334A9" w:rsidP="001350AB">
            <w:pPr>
              <w:autoSpaceDE w:val="0"/>
              <w:autoSpaceDN w:val="0"/>
              <w:adjustRightInd w:val="0"/>
              <w:rPr>
                <w:rFonts w:cs="Arial"/>
                <w:sz w:val="20"/>
                <w:szCs w:val="20"/>
                <w:lang w:eastAsia="en-GB" w:bidi="ar-SA"/>
              </w:rPr>
            </w:pPr>
          </w:p>
        </w:tc>
        <w:tc>
          <w:tcPr>
            <w:tcW w:w="2874" w:type="dxa"/>
          </w:tcPr>
          <w:p w14:paraId="1DB49B2B" w14:textId="49BDA071" w:rsidR="005554C7" w:rsidRPr="00904428" w:rsidRDefault="00DF7DC5" w:rsidP="005554C7">
            <w:pPr>
              <w:autoSpaceDE w:val="0"/>
              <w:autoSpaceDN w:val="0"/>
              <w:adjustRightInd w:val="0"/>
              <w:rPr>
                <w:rFonts w:cs="Arial"/>
                <w:sz w:val="20"/>
                <w:szCs w:val="20"/>
                <w:lang w:eastAsia="en-GB" w:bidi="ar-SA"/>
              </w:rPr>
            </w:pPr>
            <w:r>
              <w:rPr>
                <w:rFonts w:cs="Arial"/>
                <w:sz w:val="20"/>
                <w:szCs w:val="20"/>
                <w:lang w:eastAsia="en-GB" w:bidi="ar-SA"/>
              </w:rPr>
              <w:t xml:space="preserve">Noted. </w:t>
            </w:r>
          </w:p>
        </w:tc>
      </w:tr>
      <w:tr w:rsidR="00DF7DC5" w:rsidRPr="00D400A5" w14:paraId="08EA78CC" w14:textId="77777777" w:rsidTr="00231BCA">
        <w:tc>
          <w:tcPr>
            <w:tcW w:w="2088" w:type="dxa"/>
            <w:shd w:val="clear" w:color="auto" w:fill="auto"/>
          </w:tcPr>
          <w:p w14:paraId="0339E35F" w14:textId="77777777" w:rsidR="00DF7DC5" w:rsidRDefault="00DF7DC5" w:rsidP="005554C7">
            <w:pPr>
              <w:rPr>
                <w:sz w:val="20"/>
                <w:szCs w:val="20"/>
              </w:rPr>
            </w:pPr>
          </w:p>
        </w:tc>
        <w:tc>
          <w:tcPr>
            <w:tcW w:w="1170" w:type="dxa"/>
            <w:tcBorders>
              <w:bottom w:val="single" w:sz="4" w:space="0" w:color="000000"/>
            </w:tcBorders>
            <w:shd w:val="clear" w:color="auto" w:fill="auto"/>
          </w:tcPr>
          <w:p w14:paraId="5ED47094" w14:textId="083CBB81" w:rsidR="00DF7DC5" w:rsidRPr="00904428" w:rsidRDefault="00DF7DC5" w:rsidP="005554C7">
            <w:pPr>
              <w:rPr>
                <w:rFonts w:cs="Arial"/>
                <w:sz w:val="20"/>
                <w:szCs w:val="20"/>
                <w:lang w:eastAsia="en-GB" w:bidi="ar-SA"/>
              </w:rPr>
            </w:pPr>
            <w:r>
              <w:rPr>
                <w:rFonts w:cs="Arial"/>
                <w:sz w:val="20"/>
                <w:szCs w:val="20"/>
                <w:lang w:eastAsia="en-GB" w:bidi="ar-SA"/>
              </w:rPr>
              <w:t>Comvita, Dairy, NSWFA</w:t>
            </w:r>
          </w:p>
        </w:tc>
        <w:tc>
          <w:tcPr>
            <w:tcW w:w="8370" w:type="dxa"/>
            <w:tcBorders>
              <w:bottom w:val="single" w:sz="4" w:space="0" w:color="000000"/>
            </w:tcBorders>
            <w:shd w:val="clear" w:color="auto" w:fill="auto"/>
          </w:tcPr>
          <w:p w14:paraId="16EFB909" w14:textId="2628D9EA" w:rsidR="00DF7DC5" w:rsidRPr="00904428" w:rsidRDefault="00DF7DC5" w:rsidP="005554C7">
            <w:pPr>
              <w:autoSpaceDE w:val="0"/>
              <w:autoSpaceDN w:val="0"/>
              <w:adjustRightInd w:val="0"/>
              <w:rPr>
                <w:rFonts w:cs="Arial"/>
                <w:sz w:val="20"/>
                <w:szCs w:val="20"/>
                <w:lang w:eastAsia="en-GB" w:bidi="ar-SA"/>
              </w:rPr>
            </w:pPr>
            <w:r>
              <w:rPr>
                <w:rFonts w:cs="Arial"/>
                <w:sz w:val="20"/>
                <w:szCs w:val="20"/>
                <w:lang w:eastAsia="en-GB" w:bidi="ar-SA"/>
              </w:rPr>
              <w:t>Requests clarification on how genetic stability will be defined and measured.</w:t>
            </w:r>
          </w:p>
        </w:tc>
        <w:tc>
          <w:tcPr>
            <w:tcW w:w="2874" w:type="dxa"/>
            <w:tcBorders>
              <w:bottom w:val="single" w:sz="4" w:space="0" w:color="000000"/>
            </w:tcBorders>
          </w:tcPr>
          <w:p w14:paraId="5643C320" w14:textId="14357DA9" w:rsidR="002334A9" w:rsidRDefault="001350AB" w:rsidP="002334A9">
            <w:pPr>
              <w:autoSpaceDE w:val="0"/>
              <w:autoSpaceDN w:val="0"/>
              <w:adjustRightInd w:val="0"/>
              <w:rPr>
                <w:rFonts w:cs="Arial"/>
                <w:sz w:val="20"/>
                <w:szCs w:val="20"/>
                <w:lang w:eastAsia="en-GB" w:bidi="ar-SA"/>
              </w:rPr>
            </w:pPr>
            <w:r>
              <w:rPr>
                <w:rFonts w:cs="Arial"/>
                <w:sz w:val="20"/>
                <w:szCs w:val="20"/>
                <w:lang w:eastAsia="en-GB" w:bidi="ar-SA"/>
              </w:rPr>
              <w:t xml:space="preserve">FSANZ will consider this further </w:t>
            </w:r>
            <w:r w:rsidR="002334A9">
              <w:rPr>
                <w:rFonts w:cs="Arial"/>
                <w:sz w:val="20"/>
                <w:szCs w:val="20"/>
                <w:lang w:eastAsia="en-GB" w:bidi="ar-SA"/>
              </w:rPr>
              <w:t xml:space="preserve">during the next stage of the </w:t>
            </w:r>
            <w:r w:rsidR="00337C28">
              <w:rPr>
                <w:rFonts w:cs="Arial"/>
                <w:sz w:val="20"/>
                <w:szCs w:val="20"/>
                <w:lang w:eastAsia="en-GB" w:bidi="ar-SA"/>
              </w:rPr>
              <w:t>Proposal.</w:t>
            </w:r>
          </w:p>
          <w:p w14:paraId="059A3B88" w14:textId="0A0976B9" w:rsidR="00DF7DC5" w:rsidRDefault="001350AB" w:rsidP="002334A9">
            <w:pPr>
              <w:autoSpaceDE w:val="0"/>
              <w:autoSpaceDN w:val="0"/>
              <w:adjustRightInd w:val="0"/>
              <w:rPr>
                <w:rFonts w:cs="Arial"/>
                <w:sz w:val="20"/>
                <w:szCs w:val="20"/>
                <w:lang w:eastAsia="en-GB" w:bidi="ar-SA"/>
              </w:rPr>
            </w:pPr>
            <w:r>
              <w:rPr>
                <w:rFonts w:cs="Arial"/>
                <w:sz w:val="20"/>
                <w:szCs w:val="20"/>
                <w:lang w:eastAsia="en-GB" w:bidi="ar-SA"/>
              </w:rPr>
              <w:t xml:space="preserve"> </w:t>
            </w:r>
          </w:p>
        </w:tc>
      </w:tr>
    </w:tbl>
    <w:p w14:paraId="1B4060E6" w14:textId="00A17546" w:rsidR="005554C7" w:rsidRDefault="005554C7" w:rsidP="005554C7">
      <w:pPr>
        <w:widowControl/>
        <w:jc w:val="right"/>
        <w:rPr>
          <w:lang w:val="en-AU" w:eastAsia="en-GB" w:bidi="ar-SA"/>
        </w:rPr>
      </w:pPr>
    </w:p>
    <w:p w14:paraId="0FD207A9" w14:textId="7F88545C" w:rsidR="005554C7" w:rsidRDefault="005554C7" w:rsidP="005554C7">
      <w:pPr>
        <w:pStyle w:val="FSTableTitle"/>
        <w:rPr>
          <w:lang w:bidi="ar-SA"/>
        </w:rPr>
      </w:pPr>
      <w:r>
        <w:rPr>
          <w:lang w:val="en-AU" w:eastAsia="en-GB" w:bidi="ar-SA"/>
        </w:rPr>
        <w:br w:type="page"/>
      </w:r>
      <w:bookmarkStart w:id="5" w:name="_Toc474307569"/>
      <w:r>
        <w:rPr>
          <w:lang w:bidi="ar-SA"/>
        </w:rPr>
        <w:lastRenderedPageBreak/>
        <w:t xml:space="preserve">Table </w:t>
      </w:r>
      <w:r w:rsidR="00072CC7">
        <w:rPr>
          <w:lang w:bidi="ar-SA"/>
        </w:rPr>
        <w:t>6</w:t>
      </w:r>
      <w:r w:rsidR="002334A9">
        <w:rPr>
          <w:lang w:bidi="ar-SA"/>
        </w:rPr>
        <w:t>:</w:t>
      </w:r>
      <w:r>
        <w:rPr>
          <w:lang w:bidi="ar-SA"/>
        </w:rPr>
        <w:t xml:space="preserve"> Submitter </w:t>
      </w:r>
      <w:r w:rsidRPr="00A15CB9">
        <w:rPr>
          <w:lang w:bidi="ar-SA"/>
        </w:rPr>
        <w:t xml:space="preserve">Comments on </w:t>
      </w:r>
      <w:bookmarkEnd w:id="5"/>
      <w:r w:rsidR="00D223D7">
        <w:rPr>
          <w:lang w:bidi="ar-SA"/>
        </w:rPr>
        <w:t>Part 2.9 Standards</w:t>
      </w:r>
    </w:p>
    <w:p w14:paraId="72FCFA94" w14:textId="77777777" w:rsidR="002334A9" w:rsidRPr="002334A9" w:rsidRDefault="002334A9" w:rsidP="00231BCA">
      <w:pPr>
        <w:rPr>
          <w:lang w:bidi="ar-SA"/>
        </w:rPr>
      </w:pPr>
    </w:p>
    <w:tbl>
      <w:tblPr>
        <w:tblStyle w:val="TableGrid1"/>
        <w:tblW w:w="14175" w:type="dxa"/>
        <w:tblLook w:val="06A0" w:firstRow="1" w:lastRow="0" w:firstColumn="1" w:lastColumn="0" w:noHBand="1" w:noVBand="1"/>
        <w:tblCaption w:val="Table 5. Submitter comments on Part 2.9 standards"/>
        <w:tblDescription w:val="Submitters provided comments on Part 2.9 standards"/>
      </w:tblPr>
      <w:tblGrid>
        <w:gridCol w:w="2063"/>
        <w:gridCol w:w="1189"/>
        <w:gridCol w:w="8096"/>
        <w:gridCol w:w="2827"/>
      </w:tblGrid>
      <w:tr w:rsidR="005554C7" w:rsidRPr="00056459" w14:paraId="58CED513" w14:textId="77777777" w:rsidTr="00231BCA">
        <w:trPr>
          <w:tblHeader/>
        </w:trPr>
        <w:tc>
          <w:tcPr>
            <w:tcW w:w="2095" w:type="dxa"/>
            <w:tcBorders>
              <w:bottom w:val="single" w:sz="4" w:space="0" w:color="000000"/>
            </w:tcBorders>
            <w:shd w:val="clear" w:color="auto" w:fill="76923C" w:themeFill="accent3" w:themeFillShade="BF"/>
          </w:tcPr>
          <w:p w14:paraId="077CA967" w14:textId="77777777" w:rsidR="005554C7" w:rsidRPr="00056459" w:rsidRDefault="005554C7" w:rsidP="005554C7">
            <w:pPr>
              <w:rPr>
                <w:sz w:val="20"/>
                <w:szCs w:val="20"/>
              </w:rPr>
            </w:pPr>
            <w:r w:rsidRPr="00056459">
              <w:rPr>
                <w:b/>
                <w:color w:val="FFFFFF" w:themeColor="background1"/>
              </w:rPr>
              <w:t>Issue</w:t>
            </w:r>
          </w:p>
        </w:tc>
        <w:tc>
          <w:tcPr>
            <w:tcW w:w="1195" w:type="dxa"/>
            <w:tcBorders>
              <w:bottom w:val="single" w:sz="4" w:space="0" w:color="000000"/>
            </w:tcBorders>
            <w:shd w:val="clear" w:color="auto" w:fill="76923C" w:themeFill="accent3" w:themeFillShade="BF"/>
          </w:tcPr>
          <w:p w14:paraId="547B8113" w14:textId="77777777" w:rsidR="005554C7" w:rsidRPr="00056459" w:rsidRDefault="005554C7" w:rsidP="005554C7">
            <w:pPr>
              <w:rPr>
                <w:sz w:val="20"/>
                <w:szCs w:val="20"/>
              </w:rPr>
            </w:pPr>
            <w:r w:rsidRPr="00056459">
              <w:rPr>
                <w:b/>
                <w:color w:val="FFFFFF" w:themeColor="background1"/>
              </w:rPr>
              <w:t>Raised by</w:t>
            </w:r>
          </w:p>
        </w:tc>
        <w:tc>
          <w:tcPr>
            <w:tcW w:w="8338" w:type="dxa"/>
            <w:tcBorders>
              <w:bottom w:val="single" w:sz="4" w:space="0" w:color="000000"/>
            </w:tcBorders>
            <w:shd w:val="clear" w:color="auto" w:fill="76923C" w:themeFill="accent3" w:themeFillShade="BF"/>
          </w:tcPr>
          <w:p w14:paraId="211399A2" w14:textId="77777777" w:rsidR="005554C7" w:rsidRPr="00056459" w:rsidRDefault="005554C7" w:rsidP="005554C7">
            <w:pPr>
              <w:rPr>
                <w:b/>
                <w:color w:val="FFFFFF" w:themeColor="background1"/>
              </w:rPr>
            </w:pPr>
            <w:r w:rsidRPr="00056459">
              <w:rPr>
                <w:b/>
                <w:color w:val="FFFFFF" w:themeColor="background1"/>
              </w:rPr>
              <w:t>Submitter comments</w:t>
            </w:r>
          </w:p>
          <w:p w14:paraId="07F9ACA1" w14:textId="77777777" w:rsidR="005554C7" w:rsidRPr="00056459" w:rsidRDefault="005554C7" w:rsidP="005554C7">
            <w:pPr>
              <w:rPr>
                <w:sz w:val="20"/>
                <w:szCs w:val="20"/>
              </w:rPr>
            </w:pPr>
          </w:p>
        </w:tc>
        <w:tc>
          <w:tcPr>
            <w:tcW w:w="2874" w:type="dxa"/>
            <w:tcBorders>
              <w:bottom w:val="single" w:sz="4" w:space="0" w:color="000000"/>
            </w:tcBorders>
            <w:shd w:val="clear" w:color="auto" w:fill="76923C" w:themeFill="accent3" w:themeFillShade="BF"/>
          </w:tcPr>
          <w:p w14:paraId="106048A0" w14:textId="77777777" w:rsidR="005554C7" w:rsidRPr="00056459" w:rsidRDefault="005554C7" w:rsidP="005554C7">
            <w:pPr>
              <w:jc w:val="center"/>
              <w:rPr>
                <w:b/>
                <w:color w:val="FFFFFF" w:themeColor="background1"/>
              </w:rPr>
            </w:pPr>
            <w:r>
              <w:rPr>
                <w:b/>
                <w:color w:val="FFFFFF" w:themeColor="background1"/>
              </w:rPr>
              <w:t>Response</w:t>
            </w:r>
          </w:p>
        </w:tc>
      </w:tr>
      <w:tr w:rsidR="005554C7" w:rsidRPr="00056459" w14:paraId="18E58764" w14:textId="77777777" w:rsidTr="00231BCA">
        <w:tc>
          <w:tcPr>
            <w:tcW w:w="2095" w:type="dxa"/>
            <w:vMerge w:val="restart"/>
            <w:shd w:val="clear" w:color="auto" w:fill="auto"/>
          </w:tcPr>
          <w:p w14:paraId="11D12787" w14:textId="77777777" w:rsidR="005554C7" w:rsidRPr="00056459" w:rsidRDefault="005554C7" w:rsidP="005554C7">
            <w:pPr>
              <w:rPr>
                <w:sz w:val="20"/>
                <w:szCs w:val="20"/>
              </w:rPr>
            </w:pPr>
            <w:r>
              <w:rPr>
                <w:sz w:val="20"/>
                <w:szCs w:val="20"/>
              </w:rPr>
              <w:t>Scope of the proposal concerning special purpose foods</w:t>
            </w:r>
          </w:p>
          <w:p w14:paraId="1FE60F8E" w14:textId="77777777" w:rsidR="005554C7" w:rsidRPr="00056459" w:rsidRDefault="005554C7" w:rsidP="005554C7">
            <w:pPr>
              <w:rPr>
                <w:sz w:val="20"/>
                <w:szCs w:val="20"/>
              </w:rPr>
            </w:pPr>
          </w:p>
        </w:tc>
        <w:tc>
          <w:tcPr>
            <w:tcW w:w="1195" w:type="dxa"/>
            <w:tcBorders>
              <w:bottom w:val="single" w:sz="4" w:space="0" w:color="000000"/>
            </w:tcBorders>
            <w:shd w:val="clear" w:color="auto" w:fill="auto"/>
          </w:tcPr>
          <w:p w14:paraId="57EF8630" w14:textId="77777777" w:rsidR="005554C7" w:rsidRPr="00056459" w:rsidRDefault="005554C7" w:rsidP="005554C7">
            <w:pPr>
              <w:rPr>
                <w:sz w:val="20"/>
                <w:szCs w:val="20"/>
              </w:rPr>
            </w:pPr>
            <w:r w:rsidRPr="00056459">
              <w:rPr>
                <w:sz w:val="20"/>
                <w:szCs w:val="20"/>
              </w:rPr>
              <w:t>Aspen, AFGC, DGC, DN, Fonterra, INC, Nestlé, NZFGC</w:t>
            </w:r>
          </w:p>
        </w:tc>
        <w:tc>
          <w:tcPr>
            <w:tcW w:w="8338" w:type="dxa"/>
            <w:tcBorders>
              <w:bottom w:val="single" w:sz="4" w:space="0" w:color="000000"/>
            </w:tcBorders>
            <w:shd w:val="clear" w:color="auto" w:fill="auto"/>
          </w:tcPr>
          <w:p w14:paraId="1AFBC3D8" w14:textId="26221E50" w:rsidR="005554C7" w:rsidRDefault="005554C7" w:rsidP="005554C7">
            <w:pPr>
              <w:widowControl/>
              <w:autoSpaceDE w:val="0"/>
              <w:autoSpaceDN w:val="0"/>
              <w:adjustRightInd w:val="0"/>
              <w:rPr>
                <w:rFonts w:cs="Arial"/>
                <w:color w:val="000000"/>
                <w:sz w:val="20"/>
                <w:szCs w:val="20"/>
                <w:lang w:val="en-AU" w:eastAsia="en-GB" w:bidi="ar-SA"/>
              </w:rPr>
            </w:pPr>
            <w:r w:rsidRPr="00056459">
              <w:rPr>
                <w:rFonts w:cs="Arial"/>
                <w:color w:val="000000"/>
                <w:sz w:val="20"/>
                <w:szCs w:val="20"/>
                <w:lang w:val="en-AU" w:eastAsia="en-GB" w:bidi="ar-SA"/>
              </w:rPr>
              <w:t>Requests the inclusion of standards in Part 2.9 within the scope of P1024. INC and DN specif</w:t>
            </w:r>
            <w:r w:rsidR="00231BCA">
              <w:rPr>
                <w:rFonts w:cs="Arial"/>
                <w:color w:val="000000"/>
                <w:sz w:val="20"/>
                <w:szCs w:val="20"/>
                <w:lang w:val="en-AU" w:eastAsia="en-GB" w:bidi="ar-SA"/>
              </w:rPr>
              <w:t xml:space="preserve">ically request the inclusion of Standard 2.9.1 </w:t>
            </w:r>
            <w:r w:rsidR="00E34EA1">
              <w:rPr>
                <w:rFonts w:cs="Arial"/>
                <w:color w:val="000000"/>
                <w:sz w:val="20"/>
                <w:szCs w:val="20"/>
                <w:lang w:val="en-AU" w:eastAsia="en-GB" w:bidi="ar-SA"/>
              </w:rPr>
              <w:t>–</w:t>
            </w:r>
            <w:r w:rsidR="00231BCA">
              <w:rPr>
                <w:rFonts w:cs="Arial"/>
                <w:color w:val="000000"/>
                <w:sz w:val="20"/>
                <w:szCs w:val="20"/>
                <w:lang w:val="en-AU" w:eastAsia="en-GB" w:bidi="ar-SA"/>
              </w:rPr>
              <w:t xml:space="preserve"> </w:t>
            </w:r>
            <w:r w:rsidR="00E34EA1">
              <w:rPr>
                <w:rFonts w:cs="Arial"/>
                <w:color w:val="000000"/>
                <w:sz w:val="20"/>
                <w:szCs w:val="20"/>
                <w:lang w:val="en-AU" w:eastAsia="en-GB" w:bidi="ar-SA"/>
              </w:rPr>
              <w:t>Infant formula p</w:t>
            </w:r>
            <w:r w:rsidR="00231BCA">
              <w:rPr>
                <w:rFonts w:cs="Arial"/>
                <w:color w:val="000000"/>
                <w:sz w:val="20"/>
                <w:szCs w:val="20"/>
                <w:lang w:val="en-AU" w:eastAsia="en-GB" w:bidi="ar-SA"/>
              </w:rPr>
              <w:t>roducts</w:t>
            </w:r>
            <w:r w:rsidRPr="002334A9">
              <w:rPr>
                <w:rFonts w:cs="Arial"/>
                <w:color w:val="000000"/>
                <w:sz w:val="20"/>
                <w:szCs w:val="20"/>
                <w:lang w:val="en-AU" w:eastAsia="en-GB" w:bidi="ar-SA"/>
              </w:rPr>
              <w:t>.</w:t>
            </w:r>
            <w:r w:rsidRPr="00056459">
              <w:rPr>
                <w:rFonts w:cs="Arial"/>
                <w:color w:val="000000"/>
                <w:sz w:val="20"/>
                <w:szCs w:val="20"/>
                <w:lang w:val="en-AU" w:eastAsia="en-GB" w:bidi="ar-SA"/>
              </w:rPr>
              <w:t xml:space="preserve"> The following reasons were provided.</w:t>
            </w:r>
          </w:p>
          <w:p w14:paraId="05F1B424" w14:textId="77777777" w:rsidR="00E34EA1" w:rsidRPr="00056459" w:rsidRDefault="00E34EA1" w:rsidP="005554C7">
            <w:pPr>
              <w:widowControl/>
              <w:autoSpaceDE w:val="0"/>
              <w:autoSpaceDN w:val="0"/>
              <w:adjustRightInd w:val="0"/>
              <w:rPr>
                <w:rFonts w:cs="Arial"/>
                <w:color w:val="000000"/>
                <w:sz w:val="20"/>
                <w:szCs w:val="20"/>
                <w:lang w:val="en-AU" w:eastAsia="en-GB" w:bidi="ar-SA"/>
              </w:rPr>
            </w:pPr>
          </w:p>
          <w:p w14:paraId="4794F83B" w14:textId="77777777" w:rsidR="005554C7" w:rsidRPr="009D0C23" w:rsidRDefault="005554C7" w:rsidP="00E34EA1">
            <w:pPr>
              <w:pStyle w:val="FSBullet1"/>
              <w:numPr>
                <w:ilvl w:val="0"/>
                <w:numId w:val="11"/>
              </w:numPr>
              <w:ind w:left="284" w:hanging="284"/>
              <w:rPr>
                <w:rFonts w:eastAsiaTheme="minorHAnsi"/>
                <w:sz w:val="20"/>
              </w:rPr>
            </w:pPr>
            <w:r w:rsidRPr="009D0C23">
              <w:rPr>
                <w:rFonts w:eastAsiaTheme="minorHAnsi"/>
                <w:sz w:val="20"/>
              </w:rPr>
              <w:t>Of the eight standards in the Code that refer to ‘nutritive substances’, five of these standards are in Part 2.9 and three of those Standards (Standards 2.9.1, 2.9.2 and 2.9.5) are specifically excluded from the scope of Proposal P1024. It is inappropriate to develop a system for the future regulation of nutritive substances when the bulk of the application of the term is in Standards that are excluded from scope (AFGC, Fonterra, GF, INC, NZFGC).</w:t>
            </w:r>
          </w:p>
          <w:p w14:paraId="3903C334" w14:textId="77777777" w:rsidR="005554C7" w:rsidRPr="009D0C23" w:rsidRDefault="005554C7" w:rsidP="00E34EA1">
            <w:pPr>
              <w:pStyle w:val="FSBullet1"/>
              <w:numPr>
                <w:ilvl w:val="0"/>
                <w:numId w:val="11"/>
              </w:numPr>
              <w:ind w:left="284" w:hanging="284"/>
              <w:rPr>
                <w:rFonts w:eastAsiaTheme="minorHAnsi" w:cstheme="minorBidi"/>
                <w:sz w:val="20"/>
              </w:rPr>
            </w:pPr>
            <w:r w:rsidRPr="009D0C23">
              <w:rPr>
                <w:rFonts w:eastAsiaTheme="minorHAnsi"/>
                <w:sz w:val="20"/>
              </w:rPr>
              <w:t>The rationale for excluding Standard 2.9.1 from P1024 is unclear and requires further consultation and consideration by FSANZ (Aspen, Nestlé).</w:t>
            </w:r>
            <w:r w:rsidRPr="009D0C23">
              <w:rPr>
                <w:rFonts w:eastAsiaTheme="minorHAnsi" w:cstheme="minorBidi"/>
                <w:sz w:val="20"/>
              </w:rPr>
              <w:t xml:space="preserve"> INC and NZFGC also stated that t</w:t>
            </w:r>
            <w:r w:rsidRPr="009D0C23">
              <w:rPr>
                <w:rFonts w:eastAsiaTheme="minorHAnsi"/>
                <w:color w:val="000000"/>
                <w:sz w:val="20"/>
                <w:szCs w:val="22"/>
                <w:lang w:eastAsia="en-GB"/>
              </w:rPr>
              <w:t>he current regulation of novel foods in relation to Standard 2.9.1 is no different to the regulation of novel foods in the general food supply.</w:t>
            </w:r>
          </w:p>
          <w:p w14:paraId="60647E93" w14:textId="13742400" w:rsidR="005554C7" w:rsidRPr="009D0C23" w:rsidRDefault="005554C7" w:rsidP="00E34EA1">
            <w:pPr>
              <w:pStyle w:val="FSBullet1"/>
              <w:numPr>
                <w:ilvl w:val="0"/>
                <w:numId w:val="11"/>
              </w:numPr>
              <w:ind w:left="284" w:hanging="284"/>
              <w:rPr>
                <w:rFonts w:eastAsiaTheme="minorHAnsi" w:cstheme="minorBidi"/>
                <w:sz w:val="20"/>
              </w:rPr>
            </w:pPr>
            <w:r w:rsidRPr="009D0C23">
              <w:rPr>
                <w:rFonts w:eastAsiaTheme="minorHAnsi" w:cstheme="minorBidi"/>
                <w:sz w:val="20"/>
              </w:rPr>
              <w:t>While the vulnerability</w:t>
            </w:r>
            <w:r w:rsidR="004B0EC0">
              <w:rPr>
                <w:rFonts w:eastAsiaTheme="minorHAnsi" w:cstheme="minorBidi"/>
                <w:sz w:val="20"/>
              </w:rPr>
              <w:t xml:space="preserve"> of </w:t>
            </w:r>
            <w:r w:rsidR="004B0EC0" w:rsidRPr="009D0C23">
              <w:rPr>
                <w:rFonts w:eastAsiaTheme="minorHAnsi" w:cstheme="minorBidi"/>
                <w:sz w:val="20"/>
              </w:rPr>
              <w:t>infant</w:t>
            </w:r>
            <w:r w:rsidR="004B0EC0">
              <w:rPr>
                <w:rFonts w:eastAsiaTheme="minorHAnsi" w:cstheme="minorBidi"/>
                <w:sz w:val="20"/>
              </w:rPr>
              <w:t>s</w:t>
            </w:r>
            <w:r w:rsidRPr="009D0C23">
              <w:rPr>
                <w:rFonts w:eastAsiaTheme="minorHAnsi" w:cstheme="minorBidi"/>
                <w:sz w:val="20"/>
              </w:rPr>
              <w:t xml:space="preserve"> is a valid issue, there is no justification for not including infant formula in P1024. Also, the </w:t>
            </w:r>
            <w:r w:rsidRPr="00231BCA">
              <w:rPr>
                <w:rFonts w:eastAsiaTheme="minorHAnsi" w:cstheme="minorBidi"/>
                <w:iCs/>
                <w:sz w:val="20"/>
              </w:rPr>
              <w:t>Ministerial Policy Guideline on the Regulation of Infant Formula Products</w:t>
            </w:r>
            <w:r w:rsidRPr="009D0C23">
              <w:rPr>
                <w:rFonts w:eastAsiaTheme="minorHAnsi" w:cstheme="minorBidi"/>
                <w:i/>
                <w:iCs/>
                <w:sz w:val="20"/>
              </w:rPr>
              <w:t xml:space="preserve"> </w:t>
            </w:r>
            <w:r w:rsidRPr="009D0C23">
              <w:rPr>
                <w:rFonts w:eastAsiaTheme="minorHAnsi" w:cstheme="minorBidi"/>
                <w:sz w:val="20"/>
              </w:rPr>
              <w:t>is in line with option 3 (Aspen, INC).</w:t>
            </w:r>
          </w:p>
          <w:p w14:paraId="561F80E8" w14:textId="77777777" w:rsidR="005554C7" w:rsidRDefault="005554C7" w:rsidP="00E34EA1">
            <w:pPr>
              <w:pStyle w:val="FSBullet1"/>
              <w:numPr>
                <w:ilvl w:val="0"/>
                <w:numId w:val="11"/>
              </w:numPr>
              <w:ind w:left="284" w:hanging="284"/>
              <w:rPr>
                <w:rFonts w:eastAsiaTheme="minorHAnsi" w:cstheme="minorBidi"/>
                <w:sz w:val="20"/>
              </w:rPr>
            </w:pPr>
            <w:r w:rsidRPr="009D0C23">
              <w:rPr>
                <w:rFonts w:eastAsiaTheme="minorHAnsi" w:cstheme="minorBidi"/>
                <w:sz w:val="20"/>
              </w:rPr>
              <w:t>Concern there will be a regulatory gap if P1024 is gazetted before P1028 since provisions relating to nutritive substances and novel foods in 2.9.1 rely on the general definition of novel foods and nutritive substances. If P1024 is gazetted before P1028 then the 2.9 standards out of scope will default to the current inadequate provisions. It may take up to 2 years to progress other proposals to cover foods not covered by P1028 and P1024 (AFGC, Aspen).</w:t>
            </w:r>
          </w:p>
          <w:p w14:paraId="0A0B798C" w14:textId="4A23C827" w:rsidR="002334A9" w:rsidRPr="00231BCA" w:rsidRDefault="002334A9" w:rsidP="00231BCA">
            <w:pPr>
              <w:rPr>
                <w:rFonts w:eastAsiaTheme="minorHAnsi"/>
              </w:rPr>
            </w:pPr>
          </w:p>
        </w:tc>
        <w:tc>
          <w:tcPr>
            <w:tcW w:w="2874" w:type="dxa"/>
            <w:tcBorders>
              <w:bottom w:val="single" w:sz="4" w:space="0" w:color="000000"/>
            </w:tcBorders>
          </w:tcPr>
          <w:p w14:paraId="7542A5F4" w14:textId="34261F39" w:rsidR="005554C7" w:rsidRPr="00056459" w:rsidRDefault="001350AB" w:rsidP="005554C7">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FSANZ has clarified the approach to Part 2.9 standards in section 3.3 of the consultation paper.</w:t>
            </w:r>
          </w:p>
        </w:tc>
      </w:tr>
      <w:tr w:rsidR="005554C7" w:rsidRPr="00056459" w14:paraId="055A04AE" w14:textId="77777777" w:rsidTr="00231BCA">
        <w:tc>
          <w:tcPr>
            <w:tcW w:w="2095" w:type="dxa"/>
            <w:vMerge/>
            <w:shd w:val="clear" w:color="auto" w:fill="auto"/>
          </w:tcPr>
          <w:p w14:paraId="3887C3A5" w14:textId="77777777" w:rsidR="005554C7" w:rsidRPr="00056459" w:rsidRDefault="005554C7" w:rsidP="005554C7">
            <w:pPr>
              <w:ind w:left="113" w:hanging="113"/>
              <w:rPr>
                <w:sz w:val="20"/>
                <w:szCs w:val="20"/>
              </w:rPr>
            </w:pPr>
          </w:p>
        </w:tc>
        <w:tc>
          <w:tcPr>
            <w:tcW w:w="1195" w:type="dxa"/>
            <w:tcBorders>
              <w:bottom w:val="single" w:sz="4" w:space="0" w:color="000000"/>
            </w:tcBorders>
            <w:shd w:val="clear" w:color="auto" w:fill="auto"/>
          </w:tcPr>
          <w:p w14:paraId="4B69733F" w14:textId="77777777" w:rsidR="005554C7" w:rsidRPr="00056459" w:rsidRDefault="005554C7" w:rsidP="005554C7">
            <w:pPr>
              <w:ind w:left="113" w:hanging="113"/>
              <w:rPr>
                <w:sz w:val="20"/>
                <w:szCs w:val="20"/>
              </w:rPr>
            </w:pPr>
            <w:r w:rsidRPr="00056459">
              <w:rPr>
                <w:sz w:val="20"/>
                <w:szCs w:val="20"/>
              </w:rPr>
              <w:t>NZMPI</w:t>
            </w:r>
          </w:p>
        </w:tc>
        <w:tc>
          <w:tcPr>
            <w:tcW w:w="8338" w:type="dxa"/>
            <w:tcBorders>
              <w:bottom w:val="single" w:sz="4" w:space="0" w:color="000000"/>
            </w:tcBorders>
            <w:shd w:val="clear" w:color="auto" w:fill="auto"/>
          </w:tcPr>
          <w:p w14:paraId="60DF80FA" w14:textId="77777777" w:rsidR="005554C7" w:rsidRDefault="005554C7" w:rsidP="001350AB">
            <w:pPr>
              <w:rPr>
                <w:rStyle w:val="CommentReference"/>
              </w:rPr>
            </w:pPr>
            <w:r>
              <w:rPr>
                <w:sz w:val="20"/>
                <w:szCs w:val="20"/>
              </w:rPr>
              <w:t xml:space="preserve">Notes that the proposed intent to combine the regulation of novel foods and nutritive substances does not impact on </w:t>
            </w:r>
            <w:r w:rsidRPr="00056459">
              <w:rPr>
                <w:sz w:val="20"/>
                <w:szCs w:val="20"/>
              </w:rPr>
              <w:t xml:space="preserve">foods for special medical purposes, infant formula and infant foods </w:t>
            </w:r>
            <w:r>
              <w:rPr>
                <w:sz w:val="20"/>
                <w:szCs w:val="20"/>
              </w:rPr>
              <w:t>because they are excluded from the scope of P1024.</w:t>
            </w:r>
            <w:r>
              <w:rPr>
                <w:rStyle w:val="CommentReference"/>
              </w:rPr>
              <w:t xml:space="preserve"> </w:t>
            </w:r>
          </w:p>
          <w:p w14:paraId="1FBBC98D" w14:textId="11EF5A49" w:rsidR="002334A9" w:rsidRPr="001350AB" w:rsidRDefault="002334A9" w:rsidP="001350AB">
            <w:pPr>
              <w:rPr>
                <w:sz w:val="20"/>
                <w:szCs w:val="20"/>
              </w:rPr>
            </w:pPr>
          </w:p>
        </w:tc>
        <w:tc>
          <w:tcPr>
            <w:tcW w:w="2874" w:type="dxa"/>
            <w:tcBorders>
              <w:bottom w:val="single" w:sz="4" w:space="0" w:color="000000"/>
            </w:tcBorders>
          </w:tcPr>
          <w:p w14:paraId="022FF86C" w14:textId="0BC7D425" w:rsidR="005554C7" w:rsidRPr="00056459" w:rsidRDefault="001350AB" w:rsidP="005554C7">
            <w:pPr>
              <w:rPr>
                <w:sz w:val="20"/>
                <w:szCs w:val="20"/>
              </w:rPr>
            </w:pPr>
            <w:r>
              <w:rPr>
                <w:sz w:val="20"/>
                <w:szCs w:val="20"/>
              </w:rPr>
              <w:t>As above.</w:t>
            </w:r>
          </w:p>
        </w:tc>
      </w:tr>
      <w:tr w:rsidR="005554C7" w:rsidRPr="00056459" w14:paraId="183DAF70" w14:textId="77777777" w:rsidTr="00231BCA">
        <w:tc>
          <w:tcPr>
            <w:tcW w:w="2095" w:type="dxa"/>
            <w:vMerge/>
            <w:shd w:val="clear" w:color="auto" w:fill="auto"/>
          </w:tcPr>
          <w:p w14:paraId="69723897" w14:textId="77777777" w:rsidR="005554C7" w:rsidRPr="00056459" w:rsidRDefault="005554C7" w:rsidP="005554C7">
            <w:pPr>
              <w:ind w:left="113" w:hanging="113"/>
              <w:rPr>
                <w:sz w:val="20"/>
                <w:szCs w:val="20"/>
              </w:rPr>
            </w:pPr>
          </w:p>
        </w:tc>
        <w:tc>
          <w:tcPr>
            <w:tcW w:w="1195" w:type="dxa"/>
            <w:tcBorders>
              <w:bottom w:val="single" w:sz="4" w:space="0" w:color="000000"/>
            </w:tcBorders>
            <w:shd w:val="clear" w:color="auto" w:fill="auto"/>
          </w:tcPr>
          <w:p w14:paraId="5DF1DE3A" w14:textId="77777777" w:rsidR="005554C7" w:rsidRPr="00056459" w:rsidRDefault="005554C7" w:rsidP="005554C7">
            <w:pPr>
              <w:ind w:left="113" w:hanging="113"/>
              <w:rPr>
                <w:sz w:val="20"/>
                <w:szCs w:val="20"/>
              </w:rPr>
            </w:pPr>
            <w:r>
              <w:rPr>
                <w:sz w:val="20"/>
                <w:szCs w:val="20"/>
              </w:rPr>
              <w:t>DGC</w:t>
            </w:r>
          </w:p>
        </w:tc>
        <w:tc>
          <w:tcPr>
            <w:tcW w:w="8338" w:type="dxa"/>
            <w:tcBorders>
              <w:bottom w:val="single" w:sz="4" w:space="0" w:color="000000"/>
            </w:tcBorders>
            <w:shd w:val="clear" w:color="auto" w:fill="auto"/>
          </w:tcPr>
          <w:p w14:paraId="2B81937F" w14:textId="77777777" w:rsidR="005554C7" w:rsidRDefault="005554C7" w:rsidP="005554C7">
            <w:pPr>
              <w:rPr>
                <w:sz w:val="20"/>
                <w:szCs w:val="20"/>
              </w:rPr>
            </w:pPr>
            <w:r>
              <w:rPr>
                <w:sz w:val="20"/>
                <w:szCs w:val="20"/>
              </w:rPr>
              <w:t>Concern that 2.9.3 Div 4 Formulated Supplementary Foods for Young Children is not in scope. There is an opportunity to align permissions in the Codex standards for follow-up formula for children aged 6-36 months, currently under review.</w:t>
            </w:r>
          </w:p>
          <w:p w14:paraId="22E7466A" w14:textId="77777777" w:rsidR="002334A9" w:rsidRPr="00056459" w:rsidRDefault="002334A9" w:rsidP="005554C7">
            <w:pPr>
              <w:rPr>
                <w:sz w:val="20"/>
                <w:szCs w:val="20"/>
              </w:rPr>
            </w:pPr>
          </w:p>
        </w:tc>
        <w:tc>
          <w:tcPr>
            <w:tcW w:w="2874" w:type="dxa"/>
            <w:tcBorders>
              <w:bottom w:val="single" w:sz="4" w:space="0" w:color="000000"/>
            </w:tcBorders>
          </w:tcPr>
          <w:p w14:paraId="1D852734" w14:textId="59AB7123" w:rsidR="005554C7" w:rsidRDefault="001350AB" w:rsidP="005554C7">
            <w:pPr>
              <w:rPr>
                <w:sz w:val="20"/>
                <w:szCs w:val="20"/>
              </w:rPr>
            </w:pPr>
            <w:r>
              <w:rPr>
                <w:sz w:val="20"/>
                <w:szCs w:val="20"/>
              </w:rPr>
              <w:t xml:space="preserve">As above. </w:t>
            </w:r>
          </w:p>
        </w:tc>
      </w:tr>
      <w:tr w:rsidR="005554C7" w:rsidRPr="00056459" w14:paraId="7B14D451" w14:textId="77777777" w:rsidTr="00231BCA">
        <w:tc>
          <w:tcPr>
            <w:tcW w:w="2095" w:type="dxa"/>
            <w:shd w:val="clear" w:color="auto" w:fill="auto"/>
          </w:tcPr>
          <w:p w14:paraId="11802259" w14:textId="59C266D2" w:rsidR="005554C7" w:rsidRPr="00056459" w:rsidRDefault="005554C7" w:rsidP="006A7F57">
            <w:pPr>
              <w:pageBreakBefore/>
              <w:ind w:left="113" w:hanging="113"/>
              <w:rPr>
                <w:sz w:val="20"/>
                <w:szCs w:val="20"/>
              </w:rPr>
            </w:pPr>
            <w:r>
              <w:rPr>
                <w:sz w:val="20"/>
                <w:szCs w:val="20"/>
              </w:rPr>
              <w:lastRenderedPageBreak/>
              <w:t xml:space="preserve">Standard 2.9.4 </w:t>
            </w:r>
          </w:p>
        </w:tc>
        <w:tc>
          <w:tcPr>
            <w:tcW w:w="1195" w:type="dxa"/>
            <w:tcBorders>
              <w:bottom w:val="single" w:sz="4" w:space="0" w:color="000000"/>
            </w:tcBorders>
            <w:shd w:val="clear" w:color="auto" w:fill="auto"/>
          </w:tcPr>
          <w:p w14:paraId="7BB26ED2" w14:textId="77777777" w:rsidR="005554C7" w:rsidRDefault="005554C7" w:rsidP="005554C7">
            <w:pPr>
              <w:ind w:left="113" w:hanging="113"/>
              <w:rPr>
                <w:sz w:val="20"/>
                <w:szCs w:val="20"/>
              </w:rPr>
            </w:pPr>
            <w:r>
              <w:rPr>
                <w:sz w:val="20"/>
                <w:szCs w:val="20"/>
              </w:rPr>
              <w:t>Vic Govt</w:t>
            </w:r>
          </w:p>
        </w:tc>
        <w:tc>
          <w:tcPr>
            <w:tcW w:w="8338" w:type="dxa"/>
            <w:tcBorders>
              <w:bottom w:val="single" w:sz="4" w:space="0" w:color="000000"/>
            </w:tcBorders>
            <w:shd w:val="clear" w:color="auto" w:fill="auto"/>
          </w:tcPr>
          <w:p w14:paraId="07525ADD" w14:textId="77777777" w:rsidR="005554C7" w:rsidRDefault="005554C7" w:rsidP="005554C7">
            <w:pPr>
              <w:widowControl/>
              <w:autoSpaceDE w:val="0"/>
              <w:autoSpaceDN w:val="0"/>
              <w:adjustRightInd w:val="0"/>
              <w:rPr>
                <w:sz w:val="20"/>
                <w:szCs w:val="20"/>
              </w:rPr>
            </w:pPr>
            <w:r>
              <w:rPr>
                <w:sz w:val="20"/>
                <w:szCs w:val="20"/>
              </w:rPr>
              <w:t xml:space="preserve">Identified problems with addition of substances to </w:t>
            </w:r>
            <w:r w:rsidRPr="001577BC">
              <w:rPr>
                <w:sz w:val="20"/>
                <w:szCs w:val="20"/>
              </w:rPr>
              <w:t>formulated supplementary</w:t>
            </w:r>
            <w:r>
              <w:rPr>
                <w:sz w:val="20"/>
                <w:szCs w:val="20"/>
              </w:rPr>
              <w:t xml:space="preserve"> </w:t>
            </w:r>
            <w:r w:rsidRPr="001577BC">
              <w:rPr>
                <w:sz w:val="20"/>
                <w:szCs w:val="20"/>
              </w:rPr>
              <w:t>sports foods</w:t>
            </w:r>
          </w:p>
        </w:tc>
        <w:tc>
          <w:tcPr>
            <w:tcW w:w="2874" w:type="dxa"/>
            <w:tcBorders>
              <w:bottom w:val="single" w:sz="4" w:space="0" w:color="000000"/>
            </w:tcBorders>
          </w:tcPr>
          <w:p w14:paraId="5AB86E70" w14:textId="77777777" w:rsidR="005554C7" w:rsidRDefault="001350AB" w:rsidP="0025383C">
            <w:pPr>
              <w:widowControl/>
              <w:autoSpaceDE w:val="0"/>
              <w:autoSpaceDN w:val="0"/>
              <w:adjustRightInd w:val="0"/>
              <w:rPr>
                <w:sz w:val="20"/>
                <w:szCs w:val="20"/>
              </w:rPr>
            </w:pPr>
            <w:r>
              <w:rPr>
                <w:sz w:val="20"/>
                <w:szCs w:val="20"/>
              </w:rPr>
              <w:t>Grandfathering is addressed in section 3.2 of the consultation paper.</w:t>
            </w:r>
          </w:p>
          <w:p w14:paraId="7D748B66" w14:textId="14439735" w:rsidR="002334A9" w:rsidRDefault="002334A9" w:rsidP="0025383C">
            <w:pPr>
              <w:widowControl/>
              <w:autoSpaceDE w:val="0"/>
              <w:autoSpaceDN w:val="0"/>
              <w:adjustRightInd w:val="0"/>
              <w:rPr>
                <w:sz w:val="20"/>
                <w:szCs w:val="20"/>
              </w:rPr>
            </w:pPr>
          </w:p>
        </w:tc>
      </w:tr>
      <w:tr w:rsidR="005554C7" w:rsidRPr="00056459" w14:paraId="498A8B68" w14:textId="77777777" w:rsidTr="00231BCA">
        <w:tc>
          <w:tcPr>
            <w:tcW w:w="2095" w:type="dxa"/>
            <w:shd w:val="clear" w:color="auto" w:fill="auto"/>
          </w:tcPr>
          <w:p w14:paraId="692228D3" w14:textId="77777777" w:rsidR="005554C7" w:rsidRPr="00056459" w:rsidRDefault="005554C7" w:rsidP="005554C7">
            <w:pPr>
              <w:rPr>
                <w:sz w:val="20"/>
                <w:szCs w:val="20"/>
              </w:rPr>
            </w:pPr>
            <w:r w:rsidRPr="00056459">
              <w:rPr>
                <w:sz w:val="20"/>
                <w:szCs w:val="20"/>
              </w:rPr>
              <w:t>How to incorporate foods regulated by Part 2.9</w:t>
            </w:r>
          </w:p>
          <w:p w14:paraId="5E851B2A" w14:textId="77777777" w:rsidR="005554C7" w:rsidRPr="00056459" w:rsidRDefault="005554C7" w:rsidP="005554C7">
            <w:pPr>
              <w:rPr>
                <w:sz w:val="20"/>
                <w:szCs w:val="20"/>
              </w:rPr>
            </w:pPr>
          </w:p>
        </w:tc>
        <w:tc>
          <w:tcPr>
            <w:tcW w:w="1195" w:type="dxa"/>
            <w:tcBorders>
              <w:bottom w:val="single" w:sz="4" w:space="0" w:color="000000"/>
            </w:tcBorders>
            <w:shd w:val="clear" w:color="auto" w:fill="auto"/>
          </w:tcPr>
          <w:p w14:paraId="33700568" w14:textId="77777777" w:rsidR="005554C7" w:rsidRPr="00056459" w:rsidRDefault="005554C7" w:rsidP="005554C7">
            <w:pPr>
              <w:rPr>
                <w:sz w:val="20"/>
                <w:szCs w:val="20"/>
              </w:rPr>
            </w:pPr>
            <w:r w:rsidRPr="00056459">
              <w:rPr>
                <w:sz w:val="20"/>
                <w:szCs w:val="20"/>
              </w:rPr>
              <w:t>Fonterra, INC</w:t>
            </w:r>
          </w:p>
        </w:tc>
        <w:tc>
          <w:tcPr>
            <w:tcW w:w="8338" w:type="dxa"/>
            <w:tcBorders>
              <w:bottom w:val="single" w:sz="4" w:space="0" w:color="000000"/>
            </w:tcBorders>
            <w:shd w:val="clear" w:color="auto" w:fill="auto"/>
          </w:tcPr>
          <w:p w14:paraId="6B8C36E1" w14:textId="7A4EC559" w:rsidR="005554C7" w:rsidRDefault="005554C7" w:rsidP="005554C7">
            <w:pPr>
              <w:widowControl/>
              <w:autoSpaceDE w:val="0"/>
              <w:autoSpaceDN w:val="0"/>
              <w:adjustRightInd w:val="0"/>
              <w:rPr>
                <w:rFonts w:cs="Arial"/>
                <w:color w:val="000000"/>
                <w:sz w:val="20"/>
                <w:szCs w:val="20"/>
                <w:lang w:val="en-AU" w:eastAsia="en-GB" w:bidi="ar-SA"/>
              </w:rPr>
            </w:pPr>
            <w:r w:rsidRPr="00056459">
              <w:rPr>
                <w:rFonts w:cs="Arial"/>
                <w:color w:val="000000"/>
                <w:sz w:val="20"/>
                <w:szCs w:val="20"/>
                <w:lang w:val="en-AU" w:eastAsia="en-GB" w:bidi="ar-SA"/>
              </w:rPr>
              <w:t xml:space="preserve">The framework proposed in Option 3 should be applied to Standard 2.9.1. </w:t>
            </w:r>
          </w:p>
          <w:p w14:paraId="3AF5D9E6" w14:textId="77777777" w:rsidR="006A7F57" w:rsidRPr="00056459" w:rsidRDefault="006A7F57" w:rsidP="005554C7">
            <w:pPr>
              <w:widowControl/>
              <w:autoSpaceDE w:val="0"/>
              <w:autoSpaceDN w:val="0"/>
              <w:adjustRightInd w:val="0"/>
              <w:rPr>
                <w:rFonts w:cs="Arial"/>
                <w:color w:val="000000"/>
                <w:sz w:val="20"/>
                <w:szCs w:val="20"/>
                <w:lang w:val="en-AU" w:eastAsia="en-GB" w:bidi="ar-SA"/>
              </w:rPr>
            </w:pPr>
          </w:p>
          <w:p w14:paraId="1CDDD0CB" w14:textId="77777777" w:rsidR="005554C7" w:rsidRDefault="005554C7" w:rsidP="006A7F57">
            <w:pPr>
              <w:pStyle w:val="FSBullet1"/>
              <w:numPr>
                <w:ilvl w:val="0"/>
                <w:numId w:val="11"/>
              </w:numPr>
              <w:ind w:left="284" w:hanging="284"/>
              <w:rPr>
                <w:sz w:val="20"/>
                <w:lang w:val="en-AU" w:eastAsia="en-GB"/>
              </w:rPr>
            </w:pPr>
            <w:r w:rsidRPr="001928FC">
              <w:rPr>
                <w:sz w:val="20"/>
                <w:lang w:val="en-AU" w:eastAsia="en-GB"/>
              </w:rPr>
              <w:t xml:space="preserve">A differentiating aspect for infant formula products could be a requirement that all safety assessment dossiers should include a focus on data that is relevant to infants as the target population group. </w:t>
            </w:r>
          </w:p>
          <w:p w14:paraId="2487E6EE" w14:textId="7435271E" w:rsidR="002334A9" w:rsidRPr="00231BCA" w:rsidRDefault="002334A9" w:rsidP="00231BCA">
            <w:pPr>
              <w:rPr>
                <w:rFonts w:eastAsiaTheme="minorHAnsi"/>
                <w:lang w:val="en-AU" w:eastAsia="en-GB"/>
              </w:rPr>
            </w:pPr>
          </w:p>
        </w:tc>
        <w:tc>
          <w:tcPr>
            <w:tcW w:w="2874" w:type="dxa"/>
            <w:tcBorders>
              <w:bottom w:val="single" w:sz="4" w:space="0" w:color="000000"/>
            </w:tcBorders>
          </w:tcPr>
          <w:p w14:paraId="0CB2FC6D" w14:textId="000C7851" w:rsidR="005554C7" w:rsidRPr="00056459" w:rsidRDefault="005554C7" w:rsidP="0025383C">
            <w:pPr>
              <w:widowControl/>
              <w:autoSpaceDE w:val="0"/>
              <w:autoSpaceDN w:val="0"/>
              <w:adjustRightInd w:val="0"/>
              <w:rPr>
                <w:rFonts w:cs="Arial"/>
                <w:color w:val="000000"/>
                <w:sz w:val="20"/>
                <w:szCs w:val="20"/>
                <w:lang w:val="en-AU" w:eastAsia="en-GB" w:bidi="ar-SA"/>
              </w:rPr>
            </w:pPr>
            <w:r>
              <w:rPr>
                <w:rFonts w:cs="Arial"/>
                <w:color w:val="000000"/>
                <w:sz w:val="20"/>
                <w:szCs w:val="20"/>
                <w:lang w:val="en-AU" w:eastAsia="en-GB" w:bidi="ar-SA"/>
              </w:rPr>
              <w:t>Noted</w:t>
            </w:r>
            <w:r w:rsidR="001350AB">
              <w:rPr>
                <w:rFonts w:cs="Arial"/>
                <w:color w:val="000000"/>
                <w:sz w:val="20"/>
                <w:szCs w:val="20"/>
                <w:lang w:val="en-AU" w:eastAsia="en-GB" w:bidi="ar-SA"/>
              </w:rPr>
              <w:t>. As above, noting that Proposal P1028 will continue to address products regulated by Standard 2.9.1.</w:t>
            </w:r>
          </w:p>
        </w:tc>
      </w:tr>
    </w:tbl>
    <w:p w14:paraId="38FFEC3A" w14:textId="30B3110D" w:rsidR="002334A9" w:rsidRDefault="002334A9" w:rsidP="00231BCA">
      <w:pPr>
        <w:rPr>
          <w:lang w:bidi="ar-SA"/>
        </w:rPr>
      </w:pPr>
      <w:bookmarkStart w:id="6" w:name="_Toc457223393"/>
    </w:p>
    <w:bookmarkEnd w:id="6"/>
    <w:p w14:paraId="47E7BC0A" w14:textId="77777777" w:rsidR="005554C7" w:rsidRPr="00E203C2" w:rsidRDefault="005554C7" w:rsidP="00690206"/>
    <w:sectPr w:rsidR="005554C7" w:rsidRPr="00E203C2" w:rsidSect="0025383C">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00CD2" w14:textId="77777777" w:rsidR="00FE5B17" w:rsidRDefault="00FE5B17">
      <w:r>
        <w:separator/>
      </w:r>
    </w:p>
  </w:endnote>
  <w:endnote w:type="continuationSeparator" w:id="0">
    <w:p w14:paraId="6EA1021F" w14:textId="77777777" w:rsidR="00FE5B17" w:rsidRDefault="00FE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F47A" w14:textId="77777777" w:rsidR="00FE5B17" w:rsidRDefault="00FE5B1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39CC3B" w14:textId="77777777" w:rsidR="00FE5B17" w:rsidRDefault="00FE5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E935" w14:textId="77011996" w:rsidR="00FE5B17" w:rsidRDefault="00FE5B1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CF5">
      <w:rPr>
        <w:rStyle w:val="PageNumber"/>
        <w:noProof/>
      </w:rPr>
      <w:t>14</w:t>
    </w:r>
    <w:r>
      <w:rPr>
        <w:rStyle w:val="PageNumber"/>
      </w:rPr>
      <w:fldChar w:fldCharType="end"/>
    </w:r>
  </w:p>
  <w:p w14:paraId="2B0E82D4" w14:textId="77777777" w:rsidR="00FE5B17" w:rsidRDefault="00FE5B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9CC8A" w14:textId="77777777" w:rsidR="00FE5B17" w:rsidRDefault="00FE5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BAEF6" w14:textId="77777777" w:rsidR="00FE5B17" w:rsidRDefault="00FE5B17">
      <w:r>
        <w:separator/>
      </w:r>
    </w:p>
  </w:footnote>
  <w:footnote w:type="continuationSeparator" w:id="0">
    <w:p w14:paraId="0A24D493" w14:textId="77777777" w:rsidR="00FE5B17" w:rsidRDefault="00FE5B17">
      <w:r>
        <w:continuationSeparator/>
      </w:r>
    </w:p>
  </w:footnote>
  <w:footnote w:id="1">
    <w:p w14:paraId="7F31E077" w14:textId="4B9AD6AE" w:rsidR="00FE5B17" w:rsidRPr="00072CC7" w:rsidRDefault="00FE5B17">
      <w:pPr>
        <w:pStyle w:val="FootnoteText"/>
        <w:rPr>
          <w:lang w:val="en-US"/>
        </w:rPr>
      </w:pPr>
      <w:r>
        <w:rPr>
          <w:rStyle w:val="FootnoteReference"/>
        </w:rPr>
        <w:footnoteRef/>
      </w:r>
      <w:r>
        <w:t xml:space="preserve"> </w:t>
      </w:r>
      <w:hyperlink r:id="rId1" w:history="1">
        <w:r w:rsidRPr="00986887">
          <w:rPr>
            <w:rStyle w:val="Hyperlink"/>
            <w:sz w:val="18"/>
            <w:szCs w:val="18"/>
            <w:lang w:val="en-US"/>
          </w:rPr>
          <w:t>http://www.foodstandards.gov.au/code/proposals/Pages/P1024.aspx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6B45" w14:textId="77777777" w:rsidR="00FE5B17" w:rsidRDefault="00FE5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58CA" w14:textId="022338C3" w:rsidR="00FE5B17" w:rsidRPr="007D03EA" w:rsidRDefault="00FE5B17" w:rsidP="007D03EA">
    <w:pPr>
      <w:pStyle w:val="Header"/>
      <w:jc w:val="center"/>
      <w:rPr>
        <w:rFonts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B063" w14:textId="77777777" w:rsidR="00FE5B17" w:rsidRDefault="00FE5B1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461F8B"/>
    <w:multiLevelType w:val="hybridMultilevel"/>
    <w:tmpl w:val="64A22202"/>
    <w:lvl w:ilvl="0" w:tplc="0A98BC9C">
      <w:start w:val="1"/>
      <w:numFmt w:val="bullet"/>
      <w:lvlText w:val=""/>
      <w:lvlJc w:val="left"/>
      <w:pPr>
        <w:ind w:left="450" w:hanging="360"/>
      </w:pPr>
      <w:rPr>
        <w:rFonts w:ascii="Symbol" w:hAnsi="Symbol"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3" w15:restartNumberingAfterBreak="0">
    <w:nsid w:val="352A4B12"/>
    <w:multiLevelType w:val="hybridMultilevel"/>
    <w:tmpl w:val="5114E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B666F"/>
    <w:multiLevelType w:val="hybridMultilevel"/>
    <w:tmpl w:val="E4C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6DE0065"/>
    <w:multiLevelType w:val="hybridMultilevel"/>
    <w:tmpl w:val="8108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059B1"/>
    <w:multiLevelType w:val="hybridMultilevel"/>
    <w:tmpl w:val="6DF2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D53603"/>
    <w:multiLevelType w:val="hybridMultilevel"/>
    <w:tmpl w:val="B4E4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52E18"/>
    <w:multiLevelType w:val="hybridMultilevel"/>
    <w:tmpl w:val="300A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CD5C09"/>
    <w:multiLevelType w:val="hybridMultilevel"/>
    <w:tmpl w:val="16EC9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10"/>
  </w:num>
  <w:num w:numId="7">
    <w:abstractNumId w:val="7"/>
  </w:num>
  <w:num w:numId="8">
    <w:abstractNumId w:val="4"/>
  </w:num>
  <w:num w:numId="9">
    <w:abstractNumId w:val="8"/>
  </w:num>
  <w:num w:numId="10">
    <w:abstractNumId w:val="9"/>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B19"/>
    <w:rsid w:val="00001CF2"/>
    <w:rsid w:val="0000247B"/>
    <w:rsid w:val="0000469B"/>
    <w:rsid w:val="00020EF8"/>
    <w:rsid w:val="00035FF3"/>
    <w:rsid w:val="00051021"/>
    <w:rsid w:val="00051ED9"/>
    <w:rsid w:val="00056A54"/>
    <w:rsid w:val="00057181"/>
    <w:rsid w:val="0006473A"/>
    <w:rsid w:val="00064B2D"/>
    <w:rsid w:val="00065F1F"/>
    <w:rsid w:val="00072CC7"/>
    <w:rsid w:val="00076D33"/>
    <w:rsid w:val="000865E6"/>
    <w:rsid w:val="00092CDA"/>
    <w:rsid w:val="000A27E9"/>
    <w:rsid w:val="000A3D8B"/>
    <w:rsid w:val="000A5DF8"/>
    <w:rsid w:val="000B462A"/>
    <w:rsid w:val="000B6693"/>
    <w:rsid w:val="000B6AF2"/>
    <w:rsid w:val="000D6FD4"/>
    <w:rsid w:val="000E0AE4"/>
    <w:rsid w:val="000E3DBC"/>
    <w:rsid w:val="00113CE3"/>
    <w:rsid w:val="00117522"/>
    <w:rsid w:val="001350AB"/>
    <w:rsid w:val="001542D8"/>
    <w:rsid w:val="00180C41"/>
    <w:rsid w:val="00182C4C"/>
    <w:rsid w:val="00197D8D"/>
    <w:rsid w:val="001A1A75"/>
    <w:rsid w:val="001A7E9A"/>
    <w:rsid w:val="001B306F"/>
    <w:rsid w:val="001C27A3"/>
    <w:rsid w:val="001C2872"/>
    <w:rsid w:val="001C5295"/>
    <w:rsid w:val="001E09FA"/>
    <w:rsid w:val="001F1740"/>
    <w:rsid w:val="00203540"/>
    <w:rsid w:val="0021612B"/>
    <w:rsid w:val="0022083A"/>
    <w:rsid w:val="00221D07"/>
    <w:rsid w:val="00227581"/>
    <w:rsid w:val="00227E4A"/>
    <w:rsid w:val="00231BCA"/>
    <w:rsid w:val="002334A9"/>
    <w:rsid w:val="0024582E"/>
    <w:rsid w:val="00245C56"/>
    <w:rsid w:val="0025383C"/>
    <w:rsid w:val="002547EF"/>
    <w:rsid w:val="00256D65"/>
    <w:rsid w:val="00271F00"/>
    <w:rsid w:val="00273A80"/>
    <w:rsid w:val="0029204E"/>
    <w:rsid w:val="0029631C"/>
    <w:rsid w:val="002A0194"/>
    <w:rsid w:val="002A3314"/>
    <w:rsid w:val="002A5F8B"/>
    <w:rsid w:val="002A7F6C"/>
    <w:rsid w:val="002D6809"/>
    <w:rsid w:val="002F6488"/>
    <w:rsid w:val="00302E1F"/>
    <w:rsid w:val="00303B5E"/>
    <w:rsid w:val="00320839"/>
    <w:rsid w:val="003213F9"/>
    <w:rsid w:val="00323DBF"/>
    <w:rsid w:val="00326D85"/>
    <w:rsid w:val="003309A8"/>
    <w:rsid w:val="00332B12"/>
    <w:rsid w:val="00337C28"/>
    <w:rsid w:val="00351B07"/>
    <w:rsid w:val="00352CF2"/>
    <w:rsid w:val="003626BD"/>
    <w:rsid w:val="00364841"/>
    <w:rsid w:val="00371B29"/>
    <w:rsid w:val="0037656B"/>
    <w:rsid w:val="00391769"/>
    <w:rsid w:val="00393EFE"/>
    <w:rsid w:val="003953E1"/>
    <w:rsid w:val="003956B3"/>
    <w:rsid w:val="003A14CD"/>
    <w:rsid w:val="003A68BE"/>
    <w:rsid w:val="003B1805"/>
    <w:rsid w:val="003B3C9D"/>
    <w:rsid w:val="003B78E0"/>
    <w:rsid w:val="003C4969"/>
    <w:rsid w:val="003D6BED"/>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B0EC0"/>
    <w:rsid w:val="004C2CE7"/>
    <w:rsid w:val="004F4F98"/>
    <w:rsid w:val="004F69F6"/>
    <w:rsid w:val="004F79AC"/>
    <w:rsid w:val="005017CF"/>
    <w:rsid w:val="005207D8"/>
    <w:rsid w:val="0053464E"/>
    <w:rsid w:val="0054272D"/>
    <w:rsid w:val="005554C7"/>
    <w:rsid w:val="00562917"/>
    <w:rsid w:val="0057615C"/>
    <w:rsid w:val="00586228"/>
    <w:rsid w:val="005A1D97"/>
    <w:rsid w:val="005A58F3"/>
    <w:rsid w:val="005B6AF4"/>
    <w:rsid w:val="005B7A73"/>
    <w:rsid w:val="005C04CB"/>
    <w:rsid w:val="005D16AD"/>
    <w:rsid w:val="005D72E1"/>
    <w:rsid w:val="005E6E16"/>
    <w:rsid w:val="005F400E"/>
    <w:rsid w:val="005F7342"/>
    <w:rsid w:val="00603A08"/>
    <w:rsid w:val="00610A3C"/>
    <w:rsid w:val="00627F48"/>
    <w:rsid w:val="00630C23"/>
    <w:rsid w:val="006460AB"/>
    <w:rsid w:val="00661444"/>
    <w:rsid w:val="00663FCF"/>
    <w:rsid w:val="006652A2"/>
    <w:rsid w:val="00690206"/>
    <w:rsid w:val="006937FF"/>
    <w:rsid w:val="00697624"/>
    <w:rsid w:val="006A1840"/>
    <w:rsid w:val="006A48A7"/>
    <w:rsid w:val="006A5B16"/>
    <w:rsid w:val="006A7F57"/>
    <w:rsid w:val="006B4BA1"/>
    <w:rsid w:val="006B5EBE"/>
    <w:rsid w:val="006C5CF5"/>
    <w:rsid w:val="006F4A82"/>
    <w:rsid w:val="0070373B"/>
    <w:rsid w:val="00724FA4"/>
    <w:rsid w:val="00730800"/>
    <w:rsid w:val="007602AA"/>
    <w:rsid w:val="007652EF"/>
    <w:rsid w:val="00772BDC"/>
    <w:rsid w:val="00780792"/>
    <w:rsid w:val="00794C5E"/>
    <w:rsid w:val="00796562"/>
    <w:rsid w:val="007A44B4"/>
    <w:rsid w:val="007A7D3D"/>
    <w:rsid w:val="007B225D"/>
    <w:rsid w:val="007B78F5"/>
    <w:rsid w:val="007C174F"/>
    <w:rsid w:val="007C1C64"/>
    <w:rsid w:val="007D03EA"/>
    <w:rsid w:val="007E48BC"/>
    <w:rsid w:val="007E79F7"/>
    <w:rsid w:val="007F3630"/>
    <w:rsid w:val="00807559"/>
    <w:rsid w:val="00844B97"/>
    <w:rsid w:val="008450BC"/>
    <w:rsid w:val="0085334B"/>
    <w:rsid w:val="00870214"/>
    <w:rsid w:val="00885C51"/>
    <w:rsid w:val="00885EB0"/>
    <w:rsid w:val="00891F4B"/>
    <w:rsid w:val="0089264A"/>
    <w:rsid w:val="00896B85"/>
    <w:rsid w:val="008A22BE"/>
    <w:rsid w:val="008B25C9"/>
    <w:rsid w:val="008C1B36"/>
    <w:rsid w:val="008D06C6"/>
    <w:rsid w:val="008E6250"/>
    <w:rsid w:val="00902AF6"/>
    <w:rsid w:val="00920249"/>
    <w:rsid w:val="00924C80"/>
    <w:rsid w:val="00932F14"/>
    <w:rsid w:val="0094247F"/>
    <w:rsid w:val="00942D60"/>
    <w:rsid w:val="00943390"/>
    <w:rsid w:val="00947826"/>
    <w:rsid w:val="0096523B"/>
    <w:rsid w:val="00966EE3"/>
    <w:rsid w:val="00972D06"/>
    <w:rsid w:val="00997CA5"/>
    <w:rsid w:val="009A391C"/>
    <w:rsid w:val="009A50F2"/>
    <w:rsid w:val="009D2705"/>
    <w:rsid w:val="009E0A61"/>
    <w:rsid w:val="009E3010"/>
    <w:rsid w:val="009F007E"/>
    <w:rsid w:val="009F7065"/>
    <w:rsid w:val="00A4175D"/>
    <w:rsid w:val="00A56DC7"/>
    <w:rsid w:val="00A74FD1"/>
    <w:rsid w:val="00A77BFA"/>
    <w:rsid w:val="00A84A58"/>
    <w:rsid w:val="00A96641"/>
    <w:rsid w:val="00AD478F"/>
    <w:rsid w:val="00AF06FC"/>
    <w:rsid w:val="00AF3391"/>
    <w:rsid w:val="00AF387F"/>
    <w:rsid w:val="00AF6E51"/>
    <w:rsid w:val="00B00E7F"/>
    <w:rsid w:val="00B12F1E"/>
    <w:rsid w:val="00B173DA"/>
    <w:rsid w:val="00B21DCC"/>
    <w:rsid w:val="00B25F37"/>
    <w:rsid w:val="00B37BF0"/>
    <w:rsid w:val="00B44422"/>
    <w:rsid w:val="00B46EA0"/>
    <w:rsid w:val="00B731D3"/>
    <w:rsid w:val="00B839A3"/>
    <w:rsid w:val="00B902BD"/>
    <w:rsid w:val="00B93CF5"/>
    <w:rsid w:val="00BA24E2"/>
    <w:rsid w:val="00BC0060"/>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A641D"/>
    <w:rsid w:val="00CC560B"/>
    <w:rsid w:val="00CC75E2"/>
    <w:rsid w:val="00CD46EB"/>
    <w:rsid w:val="00CD7EBF"/>
    <w:rsid w:val="00D056F1"/>
    <w:rsid w:val="00D06F37"/>
    <w:rsid w:val="00D11171"/>
    <w:rsid w:val="00D223D7"/>
    <w:rsid w:val="00D22F3C"/>
    <w:rsid w:val="00D23DB6"/>
    <w:rsid w:val="00D26924"/>
    <w:rsid w:val="00D43FE6"/>
    <w:rsid w:val="00D47418"/>
    <w:rsid w:val="00D51A95"/>
    <w:rsid w:val="00D60568"/>
    <w:rsid w:val="00D60E7A"/>
    <w:rsid w:val="00D61C57"/>
    <w:rsid w:val="00D70C7A"/>
    <w:rsid w:val="00D81D38"/>
    <w:rsid w:val="00D9620E"/>
    <w:rsid w:val="00D97EC9"/>
    <w:rsid w:val="00DA10A8"/>
    <w:rsid w:val="00DB1E08"/>
    <w:rsid w:val="00DB2973"/>
    <w:rsid w:val="00DC1B56"/>
    <w:rsid w:val="00DC2129"/>
    <w:rsid w:val="00DC51CE"/>
    <w:rsid w:val="00DC6570"/>
    <w:rsid w:val="00DD3C5E"/>
    <w:rsid w:val="00DE6542"/>
    <w:rsid w:val="00DF25C3"/>
    <w:rsid w:val="00DF7DC5"/>
    <w:rsid w:val="00E04062"/>
    <w:rsid w:val="00E063C6"/>
    <w:rsid w:val="00E066BA"/>
    <w:rsid w:val="00E14548"/>
    <w:rsid w:val="00E2003B"/>
    <w:rsid w:val="00E203C2"/>
    <w:rsid w:val="00E279D8"/>
    <w:rsid w:val="00E319B1"/>
    <w:rsid w:val="00E34EA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5770A"/>
    <w:rsid w:val="00F604DE"/>
    <w:rsid w:val="00F65CC9"/>
    <w:rsid w:val="00F778DA"/>
    <w:rsid w:val="00FA2C13"/>
    <w:rsid w:val="00FB7512"/>
    <w:rsid w:val="00FD7547"/>
    <w:rsid w:val="00FE5B1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3ECF9"/>
  <w15:docId w15:val="{0131D882-D221-42E8-AE62-6B4EBF5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table" w:customStyle="1" w:styleId="TableGrid1">
    <w:name w:val="Table Grid1"/>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554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D06F37"/>
    <w:rPr>
      <w:b/>
      <w:bCs/>
    </w:rPr>
  </w:style>
  <w:style w:type="character" w:customStyle="1" w:styleId="CommentSubjectChar">
    <w:name w:val="Comment Subject Char"/>
    <w:basedOn w:val="CommentTextChar"/>
    <w:link w:val="CommentSubject"/>
    <w:rsid w:val="00D06F37"/>
    <w:rPr>
      <w:rFonts w:ascii="Arial" w:hAnsi="Arial"/>
      <w:b/>
      <w:bCs/>
      <w:lang w:eastAsia="en-US" w:bidi="en-US"/>
    </w:rPr>
  </w:style>
  <w:style w:type="paragraph" w:styleId="Revision">
    <w:name w:val="Revision"/>
    <w:hidden/>
    <w:uiPriority w:val="99"/>
    <w:semiHidden/>
    <w:rsid w:val="001B306F"/>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4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7EA23-4CB1-4E0E-A193-20E27C107237}"/>
</file>

<file path=customXml/itemProps2.xml><?xml version="1.0" encoding="utf-8"?>
<ds:datastoreItem xmlns:ds="http://schemas.openxmlformats.org/officeDocument/2006/customXml" ds:itemID="{AE3753E6-CF2E-4AAD-85E6-2C266C1CFCFC}"/>
</file>

<file path=customXml/itemProps3.xml><?xml version="1.0" encoding="utf-8"?>
<ds:datastoreItem xmlns:ds="http://schemas.openxmlformats.org/officeDocument/2006/customXml" ds:itemID="{E9C8C0C0-090D-4B2F-B8DD-82C88DFDF385}"/>
</file>

<file path=customXml/itemProps4.xml><?xml version="1.0" encoding="utf-8"?>
<ds:datastoreItem xmlns:ds="http://schemas.openxmlformats.org/officeDocument/2006/customXml" ds:itemID="{3F47EA23-4CB1-4E0E-A193-20E27C107237}">
  <ds:schemaRefs>
    <ds:schemaRef ds:uri="http://schemas.microsoft.com/sharepoint/v3/contenttype/forms"/>
  </ds:schemaRefs>
</ds:datastoreItem>
</file>

<file path=customXml/itemProps5.xml><?xml version="1.0" encoding="utf-8"?>
<ds:datastoreItem xmlns:ds="http://schemas.openxmlformats.org/officeDocument/2006/customXml" ds:itemID="{3E1F1139-BB51-4BC2-9303-72A7EBD28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D98EFA-7D3D-44BB-9832-9CAAC6CF5F67}"/>
</file>

<file path=docProps/app.xml><?xml version="1.0" encoding="utf-8"?>
<Properties xmlns="http://schemas.openxmlformats.org/officeDocument/2006/extended-properties" xmlns:vt="http://schemas.openxmlformats.org/officeDocument/2006/docPropsVTypes">
  <Template>Normal.dotm</Template>
  <TotalTime>13</TotalTime>
  <Pages>23</Pages>
  <Words>6731</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P1024 - Consultation paper - SD1</vt:lpstr>
    </vt:vector>
  </TitlesOfParts>
  <Company>ANZFA</Company>
  <LinksUpToDate>false</LinksUpToDate>
  <CharactersWithSpaces>45008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P1024 - Consultation paper - SD1</dc:title>
  <dc:creator>kitejo</dc:creator>
  <cp:lastModifiedBy>Humphries, Cathie</cp:lastModifiedBy>
  <cp:revision>7</cp:revision>
  <cp:lastPrinted>2011-08-22T03:30:00Z</cp:lastPrinted>
  <dcterms:created xsi:type="dcterms:W3CDTF">2017-06-13T01:46:00Z</dcterms:created>
  <dcterms:modified xsi:type="dcterms:W3CDTF">2017-06-13T03:26:00Z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40;#Evaluation|43bd8487-b9f6-4055-946c-a118d364275d</vt:lpwstr>
  </property>
  <property fmtid="{D5CDD505-2E9C-101B-9397-08002B2CF9AE}" pid="4" name="_dlc_DocIdItemGuid">
    <vt:lpwstr>6704011a-9d01-4283-a29c-814064760878</vt:lpwstr>
  </property>
  <property fmtid="{D5CDD505-2E9C-101B-9397-08002B2CF9AE}" pid="5" name="DisposalClass">
    <vt:lpwstr/>
  </property>
  <property fmtid="{D5CDD505-2E9C-101B-9397-08002B2CF9AE}" pid="6" name="TitusGUID">
    <vt:lpwstr>466acdc0-b548-4986-a496-f9f51a710118</vt:lpwstr>
  </property>
</Properties>
</file>